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91D3C1" w14:textId="77777777" w:rsidR="00B67ACE" w:rsidRPr="009B7F14" w:rsidRDefault="00B67ACE" w:rsidP="00B67ACE">
      <w:pPr>
        <w:pStyle w:val="Title"/>
        <w:rPr>
          <w:rFonts w:ascii="Verdana" w:hAnsi="Verdana"/>
        </w:rPr>
      </w:pPr>
    </w:p>
    <w:p w14:paraId="65755439" w14:textId="77777777" w:rsidR="00B67ACE" w:rsidRPr="009B7F14" w:rsidRDefault="00B67ACE" w:rsidP="00B67ACE">
      <w:pPr>
        <w:pStyle w:val="Title"/>
        <w:jc w:val="left"/>
        <w:rPr>
          <w:rFonts w:ascii="Verdana" w:hAnsi="Verdana" w:cs="Arial"/>
          <w:b/>
          <w:color w:val="1F4E79" w:themeColor="accent1" w:themeShade="80"/>
          <w:sz w:val="30"/>
          <w:szCs w:val="30"/>
        </w:rPr>
      </w:pPr>
      <w:r w:rsidRPr="009B7F14">
        <w:rPr>
          <w:rFonts w:ascii="Verdana" w:hAnsi="Verdana" w:cs="Arial"/>
          <w:b/>
          <w:noProof/>
          <w:color w:val="1F4E79" w:themeColor="accent1" w:themeShade="80"/>
          <w:sz w:val="60"/>
          <w:szCs w:val="60"/>
          <w:lang w:eastAsia="en-GB"/>
        </w:rPr>
        <mc:AlternateContent>
          <mc:Choice Requires="wps">
            <w:drawing>
              <wp:anchor distT="0" distB="0" distL="114300" distR="114300" simplePos="0" relativeHeight="251717632" behindDoc="0" locked="0" layoutInCell="1" allowOverlap="1" wp14:anchorId="59EF523E" wp14:editId="4D3302BE">
                <wp:simplePos x="0" y="0"/>
                <wp:positionH relativeFrom="column">
                  <wp:posOffset>-60325</wp:posOffset>
                </wp:positionH>
                <wp:positionV relativeFrom="paragraph">
                  <wp:posOffset>443865</wp:posOffset>
                </wp:positionV>
                <wp:extent cx="5624195" cy="8255"/>
                <wp:effectExtent l="19050" t="19050" r="33655" b="29845"/>
                <wp:wrapNone/>
                <wp:docPr id="247" name="Straight Connector 247"/>
                <wp:cNvGraphicFramePr/>
                <a:graphic xmlns:a="http://schemas.openxmlformats.org/drawingml/2006/main">
                  <a:graphicData uri="http://schemas.microsoft.com/office/word/2010/wordprocessingShape">
                    <wps:wsp>
                      <wps:cNvCnPr/>
                      <wps:spPr>
                        <a:xfrm>
                          <a:off x="0" y="0"/>
                          <a:ext cx="5624195" cy="8255"/>
                        </a:xfrm>
                        <a:prstGeom prst="line">
                          <a:avLst/>
                        </a:prstGeom>
                        <a:ln w="28575">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10E8A1" id="Straight Connector 247"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4.75pt,34.95pt" to="438.1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" strokecolor="#1f4d78 [1604]" strokeweight="2.25pt">
                <v:stroke joinstyle="miter"/>
              </v:line>
            </w:pict>
          </mc:Fallback>
        </mc:AlternateContent>
      </w:r>
      <w:r w:rsidRPr="009B7F14">
        <w:rPr>
          <w:rFonts w:ascii="Verdana" w:hAnsi="Verdana" w:cs="Arial"/>
          <w:b/>
          <w:color w:val="1F4E79" w:themeColor="accent1" w:themeShade="80"/>
          <w:sz w:val="60"/>
          <w:szCs w:val="60"/>
        </w:rPr>
        <w:t>Financial Guidance</w:t>
      </w:r>
      <w:r w:rsidRPr="009B7F14">
        <w:rPr>
          <w:rFonts w:ascii="Verdana" w:hAnsi="Verdana" w:cs="Arial"/>
          <w:b/>
          <w:color w:val="1F4E79" w:themeColor="accent1" w:themeShade="80"/>
          <w:sz w:val="60"/>
          <w:szCs w:val="60"/>
        </w:rPr>
        <w:br/>
      </w:r>
      <w:r w:rsidRPr="009B7F14">
        <w:rPr>
          <w:rFonts w:ascii="Verdana" w:hAnsi="Verdana" w:cs="Arial"/>
          <w:b/>
          <w:color w:val="1F4E79" w:themeColor="accent1" w:themeShade="80"/>
          <w:sz w:val="30"/>
          <w:szCs w:val="30"/>
        </w:rPr>
        <w:t xml:space="preserve">Guidance on how to </w:t>
      </w:r>
      <w:r w:rsidR="00B825ED" w:rsidRPr="009B7F14">
        <w:rPr>
          <w:rFonts w:ascii="Verdana" w:hAnsi="Verdana" w:cs="Arial"/>
          <w:b/>
          <w:color w:val="1F4E79" w:themeColor="accent1" w:themeShade="80"/>
          <w:sz w:val="30"/>
          <w:szCs w:val="30"/>
        </w:rPr>
        <w:t>carry out</w:t>
      </w:r>
      <w:r w:rsidRPr="009B7F14">
        <w:rPr>
          <w:rFonts w:ascii="Verdana" w:hAnsi="Verdana" w:cs="Arial"/>
          <w:b/>
          <w:color w:val="1F4E79" w:themeColor="accent1" w:themeShade="80"/>
          <w:sz w:val="30"/>
          <w:szCs w:val="30"/>
        </w:rPr>
        <w:t xml:space="preserve"> financial tasks under the EEA and Norwegian Financial Mechanisms for 2014-2021</w:t>
      </w:r>
    </w:p>
    <w:p w14:paraId="612D08FD" w14:textId="77777777" w:rsidR="00B67ACE" w:rsidRDefault="00B67ACE" w:rsidP="00B67ACE">
      <w:r w:rsidRPr="009B7F14">
        <w:rPr>
          <w:rFonts w:cs="Arial"/>
          <w:szCs w:val="20"/>
        </w:rPr>
        <w:br/>
      </w:r>
    </w:p>
    <w:p w14:paraId="094DC617" w14:textId="77777777" w:rsidR="004E1E9A" w:rsidRDefault="004E1E9A" w:rsidP="00B67ACE"/>
    <w:p w14:paraId="07B50633" w14:textId="77777777" w:rsidR="004E1E9A" w:rsidRDefault="004E1E9A" w:rsidP="00B67ACE"/>
    <w:p w14:paraId="414FEFB1" w14:textId="77777777" w:rsidR="004E1E9A" w:rsidRDefault="004E1E9A" w:rsidP="00B67ACE"/>
    <w:p w14:paraId="32AB1E9C" w14:textId="77777777" w:rsidR="004E1E9A" w:rsidRDefault="004E1E9A" w:rsidP="00B67ACE"/>
    <w:p w14:paraId="69C2212F" w14:textId="77777777" w:rsidR="004E1E9A" w:rsidRDefault="004E1E9A" w:rsidP="00B67ACE"/>
    <w:p w14:paraId="577FF219" w14:textId="77777777" w:rsidR="004E1E9A" w:rsidRDefault="004E1E9A" w:rsidP="00B67ACE"/>
    <w:p w14:paraId="627783BE" w14:textId="77777777" w:rsidR="004E1E9A" w:rsidRDefault="004E1E9A" w:rsidP="00B67ACE"/>
    <w:p w14:paraId="1E0607FC" w14:textId="77777777" w:rsidR="004E1E9A" w:rsidRDefault="004E1E9A" w:rsidP="00B67ACE"/>
    <w:p w14:paraId="686D20F7" w14:textId="77777777" w:rsidR="004E1E9A" w:rsidRDefault="004E1E9A" w:rsidP="00B67ACE"/>
    <w:p w14:paraId="3D969C71" w14:textId="77777777" w:rsidR="004E1E9A" w:rsidRDefault="004E1E9A" w:rsidP="00B67ACE"/>
    <w:p w14:paraId="55FC666D" w14:textId="77777777" w:rsidR="004E1E9A" w:rsidRDefault="004E1E9A" w:rsidP="00B67ACE"/>
    <w:p w14:paraId="4EF25976" w14:textId="77777777" w:rsidR="004E1E9A" w:rsidRDefault="004E1E9A" w:rsidP="00B67ACE"/>
    <w:p w14:paraId="425ED2FE" w14:textId="77777777" w:rsidR="004E1E9A" w:rsidRDefault="004E1E9A" w:rsidP="00B67ACE"/>
    <w:p w14:paraId="4AD12CEB" w14:textId="77777777" w:rsidR="004E1E9A" w:rsidRDefault="004E1E9A" w:rsidP="00B67ACE"/>
    <w:p w14:paraId="55B51A9F" w14:textId="77777777" w:rsidR="004E1E9A" w:rsidRDefault="004E1E9A" w:rsidP="00B67ACE"/>
    <w:p w14:paraId="1FCB2B24" w14:textId="77777777" w:rsidR="004E1E9A" w:rsidRDefault="004E1E9A" w:rsidP="00B67ACE"/>
    <w:p w14:paraId="5042D4B3" w14:textId="77777777" w:rsidR="004E1E9A" w:rsidRDefault="004E1E9A" w:rsidP="00B67ACE"/>
    <w:p w14:paraId="2EE6C1F4" w14:textId="77777777" w:rsidR="004E1E9A" w:rsidRDefault="004E1E9A" w:rsidP="00B67ACE"/>
    <w:p w14:paraId="65AB68D5" w14:textId="77777777" w:rsidR="004E1E9A" w:rsidRDefault="004E1E9A" w:rsidP="00B67ACE"/>
    <w:p w14:paraId="7BE1A03F" w14:textId="77777777" w:rsidR="004E1E9A" w:rsidRDefault="004E1E9A" w:rsidP="00B67ACE"/>
    <w:p w14:paraId="46BB7B97" w14:textId="77777777" w:rsidR="004E1E9A" w:rsidRPr="009B7F14" w:rsidRDefault="004E1E9A" w:rsidP="00B67ACE"/>
    <w:p w14:paraId="0B539975" w14:textId="6509E336" w:rsidR="00B67ACE" w:rsidRPr="004E1E9A" w:rsidRDefault="00DE5468" w:rsidP="004E1E9A">
      <w:pPr>
        <w:rPr>
          <w:rFonts w:eastAsiaTheme="majorEastAsia" w:cstheme="majorBidi"/>
          <w:b/>
          <w:spacing w:val="-10"/>
          <w:kern w:val="28"/>
        </w:rPr>
      </w:pPr>
      <w:r>
        <w:rPr>
          <w:b/>
          <w:color w:val="1F4E79" w:themeColor="accent1" w:themeShade="80"/>
          <w:sz w:val="22"/>
        </w:rPr>
        <w:t xml:space="preserve">Version 1 – Updated </w:t>
      </w:r>
      <w:r w:rsidR="00AB4387">
        <w:rPr>
          <w:b/>
          <w:color w:val="1F4E79" w:themeColor="accent1" w:themeShade="80"/>
          <w:sz w:val="22"/>
        </w:rPr>
        <w:t>1</w:t>
      </w:r>
      <w:r w:rsidR="00DD79CE">
        <w:rPr>
          <w:b/>
          <w:color w:val="1F4E79" w:themeColor="accent1" w:themeShade="80"/>
          <w:sz w:val="22"/>
        </w:rPr>
        <w:t>9</w:t>
      </w:r>
      <w:r w:rsidR="00AB4387">
        <w:rPr>
          <w:b/>
          <w:color w:val="1F4E79" w:themeColor="accent1" w:themeShade="80"/>
          <w:sz w:val="22"/>
        </w:rPr>
        <w:t xml:space="preserve"> May</w:t>
      </w:r>
      <w:r w:rsidR="00E84C25">
        <w:rPr>
          <w:b/>
          <w:color w:val="1F4E79" w:themeColor="accent1" w:themeShade="80"/>
          <w:sz w:val="22"/>
        </w:rPr>
        <w:t xml:space="preserve"> </w:t>
      </w:r>
      <w:r w:rsidR="004E1E9A" w:rsidRPr="004E1E9A">
        <w:rPr>
          <w:b/>
          <w:color w:val="1F4E79" w:themeColor="accent1" w:themeShade="80"/>
          <w:sz w:val="22"/>
        </w:rPr>
        <w:t>201</w:t>
      </w:r>
      <w:r w:rsidR="00192F84">
        <w:rPr>
          <w:b/>
          <w:color w:val="1F4E79" w:themeColor="accent1" w:themeShade="80"/>
          <w:sz w:val="22"/>
        </w:rPr>
        <w:t>7</w:t>
      </w:r>
      <w:r w:rsidR="00B67ACE" w:rsidRPr="004E1E9A">
        <w:rPr>
          <w:b/>
        </w:rPr>
        <w:br w:type="page"/>
      </w:r>
    </w:p>
    <w:sdt>
      <w:sdtPr>
        <w:rPr>
          <w:rFonts w:ascii="Verdana" w:eastAsiaTheme="minorHAnsi" w:hAnsi="Verdana" w:cstheme="minorBidi"/>
          <w:caps/>
          <w:color w:val="auto"/>
          <w:spacing w:val="0"/>
          <w:kern w:val="0"/>
          <w:sz w:val="20"/>
          <w:szCs w:val="20"/>
          <w:lang w:val="en-GB"/>
        </w:rPr>
        <w:id w:val="-566184814"/>
        <w:docPartObj>
          <w:docPartGallery w:val="Table of Contents"/>
          <w:docPartUnique/>
        </w:docPartObj>
      </w:sdtPr>
      <w:sdtEndPr>
        <w:rPr>
          <w:b/>
          <w:bCs/>
          <w:caps w:val="0"/>
          <w:noProof/>
          <w:szCs w:val="22"/>
        </w:rPr>
      </w:sdtEndPr>
      <w:sdtContent>
        <w:p w14:paraId="2132CE22" w14:textId="77777777" w:rsidR="006538A2" w:rsidRPr="009B7F14" w:rsidRDefault="00FC2DE4" w:rsidP="00177429">
          <w:pPr>
            <w:pStyle w:val="TOCHeading"/>
            <w:numPr>
              <w:ilvl w:val="0"/>
              <w:numId w:val="0"/>
            </w:numPr>
            <w:rPr>
              <w:rStyle w:val="Heading1Char"/>
            </w:rPr>
          </w:pPr>
          <w:r w:rsidRPr="009B7F14">
            <w:rPr>
              <w:rStyle w:val="Heading1Char"/>
            </w:rPr>
            <w:t>Table of c</w:t>
          </w:r>
          <w:r w:rsidR="006538A2" w:rsidRPr="009B7F14">
            <w:rPr>
              <w:rStyle w:val="Heading1Char"/>
            </w:rPr>
            <w:t>ontents</w:t>
          </w:r>
        </w:p>
        <w:p w14:paraId="56E86366" w14:textId="77777777" w:rsidR="00DE4338" w:rsidRDefault="00495BA7">
          <w:pPr>
            <w:pStyle w:val="TOC1"/>
            <w:rPr>
              <w:rFonts w:asciiTheme="minorHAnsi" w:eastAsiaTheme="minorEastAsia" w:hAnsiTheme="minorHAnsi"/>
              <w:b w:val="0"/>
              <w:bCs w:val="0"/>
              <w:caps w:val="0"/>
              <w:noProof/>
              <w:sz w:val="22"/>
              <w:u w:val="none"/>
              <w:lang w:eastAsia="en-GB"/>
            </w:rPr>
          </w:pPr>
          <w:r w:rsidRPr="009B7F14">
            <w:rPr>
              <w:sz w:val="16"/>
            </w:rPr>
            <w:fldChar w:fldCharType="begin"/>
          </w:r>
          <w:r w:rsidRPr="009B7F14">
            <w:rPr>
              <w:sz w:val="16"/>
            </w:rPr>
            <w:instrText xml:space="preserve"> TOC \o "1-2" \h \z \u </w:instrText>
          </w:r>
          <w:r w:rsidRPr="009B7F14">
            <w:rPr>
              <w:sz w:val="16"/>
            </w:rPr>
            <w:fldChar w:fldCharType="separate"/>
          </w:r>
          <w:hyperlink w:anchor="_Toc484174828" w:history="1">
            <w:r w:rsidR="00DE4338" w:rsidRPr="00E30099">
              <w:rPr>
                <w:rStyle w:val="Hyperlink"/>
                <w:noProof/>
              </w:rPr>
              <w:t>1</w:t>
            </w:r>
            <w:r w:rsidR="00DE4338">
              <w:rPr>
                <w:rFonts w:asciiTheme="minorHAnsi" w:eastAsiaTheme="minorEastAsia" w:hAnsiTheme="minorHAnsi"/>
                <w:b w:val="0"/>
                <w:bCs w:val="0"/>
                <w:caps w:val="0"/>
                <w:noProof/>
                <w:sz w:val="22"/>
                <w:u w:val="none"/>
                <w:lang w:eastAsia="en-GB"/>
              </w:rPr>
              <w:tab/>
            </w:r>
            <w:r w:rsidR="00DE4338" w:rsidRPr="00E30099">
              <w:rPr>
                <w:rStyle w:val="Hyperlink"/>
                <w:noProof/>
              </w:rPr>
              <w:t>Introduction</w:t>
            </w:r>
            <w:r w:rsidR="00DE4338">
              <w:rPr>
                <w:noProof/>
                <w:webHidden/>
              </w:rPr>
              <w:tab/>
            </w:r>
            <w:r w:rsidR="00DE4338">
              <w:rPr>
                <w:noProof/>
                <w:webHidden/>
              </w:rPr>
              <w:fldChar w:fldCharType="begin"/>
            </w:r>
            <w:r w:rsidR="00DE4338">
              <w:rPr>
                <w:noProof/>
                <w:webHidden/>
              </w:rPr>
              <w:instrText xml:space="preserve"> PAGEREF _Toc484174828 \h </w:instrText>
            </w:r>
            <w:r w:rsidR="00DE4338">
              <w:rPr>
                <w:noProof/>
                <w:webHidden/>
              </w:rPr>
            </w:r>
            <w:r w:rsidR="00DE4338">
              <w:rPr>
                <w:noProof/>
                <w:webHidden/>
              </w:rPr>
              <w:fldChar w:fldCharType="separate"/>
            </w:r>
            <w:r w:rsidR="00DE4338">
              <w:rPr>
                <w:noProof/>
                <w:webHidden/>
              </w:rPr>
              <w:t>5</w:t>
            </w:r>
            <w:r w:rsidR="00DE4338">
              <w:rPr>
                <w:noProof/>
                <w:webHidden/>
              </w:rPr>
              <w:fldChar w:fldCharType="end"/>
            </w:r>
          </w:hyperlink>
        </w:p>
        <w:p w14:paraId="2C3A1ED7" w14:textId="77777777" w:rsidR="00DE4338" w:rsidRDefault="00DE4338">
          <w:pPr>
            <w:pStyle w:val="TOC1"/>
            <w:rPr>
              <w:rFonts w:asciiTheme="minorHAnsi" w:eastAsiaTheme="minorEastAsia" w:hAnsiTheme="minorHAnsi"/>
              <w:b w:val="0"/>
              <w:bCs w:val="0"/>
              <w:caps w:val="0"/>
              <w:noProof/>
              <w:sz w:val="22"/>
              <w:u w:val="none"/>
              <w:lang w:eastAsia="en-GB"/>
            </w:rPr>
          </w:pPr>
          <w:hyperlink w:anchor="_Toc484174829" w:history="1">
            <w:r w:rsidRPr="00E30099">
              <w:rPr>
                <w:rStyle w:val="Hyperlink"/>
                <w:noProof/>
              </w:rPr>
              <w:t>2</w:t>
            </w:r>
            <w:r>
              <w:rPr>
                <w:rFonts w:asciiTheme="minorHAnsi" w:eastAsiaTheme="minorEastAsia" w:hAnsiTheme="minorHAnsi"/>
                <w:b w:val="0"/>
                <w:bCs w:val="0"/>
                <w:caps w:val="0"/>
                <w:noProof/>
                <w:sz w:val="22"/>
                <w:u w:val="none"/>
                <w:lang w:eastAsia="en-GB"/>
              </w:rPr>
              <w:tab/>
            </w:r>
            <w:r w:rsidRPr="00E30099">
              <w:rPr>
                <w:rStyle w:val="Hyperlink"/>
                <w:noProof/>
              </w:rPr>
              <w:t>Preparation/planning phase</w:t>
            </w:r>
            <w:r>
              <w:rPr>
                <w:noProof/>
                <w:webHidden/>
              </w:rPr>
              <w:tab/>
            </w:r>
            <w:r>
              <w:rPr>
                <w:noProof/>
                <w:webHidden/>
              </w:rPr>
              <w:fldChar w:fldCharType="begin"/>
            </w:r>
            <w:r>
              <w:rPr>
                <w:noProof/>
                <w:webHidden/>
              </w:rPr>
              <w:instrText xml:space="preserve"> PAGEREF _Toc484174829 \h </w:instrText>
            </w:r>
            <w:r>
              <w:rPr>
                <w:noProof/>
                <w:webHidden/>
              </w:rPr>
            </w:r>
            <w:r>
              <w:rPr>
                <w:noProof/>
                <w:webHidden/>
              </w:rPr>
              <w:fldChar w:fldCharType="separate"/>
            </w:r>
            <w:r>
              <w:rPr>
                <w:noProof/>
                <w:webHidden/>
              </w:rPr>
              <w:t>6</w:t>
            </w:r>
            <w:r>
              <w:rPr>
                <w:noProof/>
                <w:webHidden/>
              </w:rPr>
              <w:fldChar w:fldCharType="end"/>
            </w:r>
          </w:hyperlink>
        </w:p>
        <w:p w14:paraId="4CBDEF54" w14:textId="77777777" w:rsidR="00DE4338" w:rsidRDefault="00DE4338">
          <w:pPr>
            <w:pStyle w:val="TOC2"/>
            <w:rPr>
              <w:rFonts w:eastAsiaTheme="minorEastAsia"/>
              <w:bCs w:val="0"/>
              <w:noProof/>
              <w:sz w:val="22"/>
              <w:lang w:eastAsia="en-GB"/>
            </w:rPr>
          </w:pPr>
          <w:hyperlink w:anchor="_Toc484174830" w:history="1">
            <w:r w:rsidRPr="00E30099">
              <w:rPr>
                <w:rStyle w:val="Hyperlink"/>
                <w:noProof/>
              </w:rPr>
              <w:t>2.1</w:t>
            </w:r>
            <w:r>
              <w:rPr>
                <w:rFonts w:eastAsiaTheme="minorEastAsia"/>
                <w:bCs w:val="0"/>
                <w:noProof/>
                <w:sz w:val="22"/>
                <w:lang w:eastAsia="en-GB"/>
              </w:rPr>
              <w:tab/>
            </w:r>
            <w:r w:rsidRPr="00E30099">
              <w:rPr>
                <w:rStyle w:val="Hyperlink"/>
                <w:noProof/>
              </w:rPr>
              <w:t>Information needed before the conclusion of the Programme Agreement</w:t>
            </w:r>
            <w:r>
              <w:rPr>
                <w:noProof/>
                <w:webHidden/>
              </w:rPr>
              <w:tab/>
            </w:r>
            <w:r>
              <w:rPr>
                <w:noProof/>
                <w:webHidden/>
              </w:rPr>
              <w:fldChar w:fldCharType="begin"/>
            </w:r>
            <w:r>
              <w:rPr>
                <w:noProof/>
                <w:webHidden/>
              </w:rPr>
              <w:instrText xml:space="preserve"> PAGEREF _Toc484174830 \h </w:instrText>
            </w:r>
            <w:r>
              <w:rPr>
                <w:noProof/>
                <w:webHidden/>
              </w:rPr>
            </w:r>
            <w:r>
              <w:rPr>
                <w:noProof/>
                <w:webHidden/>
              </w:rPr>
              <w:fldChar w:fldCharType="separate"/>
            </w:r>
            <w:r>
              <w:rPr>
                <w:noProof/>
                <w:webHidden/>
              </w:rPr>
              <w:t>6</w:t>
            </w:r>
            <w:r>
              <w:rPr>
                <w:noProof/>
                <w:webHidden/>
              </w:rPr>
              <w:fldChar w:fldCharType="end"/>
            </w:r>
          </w:hyperlink>
        </w:p>
        <w:p w14:paraId="2D933F76" w14:textId="77777777" w:rsidR="00DE4338" w:rsidRDefault="00DE4338">
          <w:pPr>
            <w:pStyle w:val="TOC2"/>
            <w:rPr>
              <w:rFonts w:eastAsiaTheme="minorEastAsia"/>
              <w:bCs w:val="0"/>
              <w:noProof/>
              <w:sz w:val="22"/>
              <w:lang w:eastAsia="en-GB"/>
            </w:rPr>
          </w:pPr>
          <w:hyperlink w:anchor="_Toc484174831" w:history="1">
            <w:r w:rsidRPr="00E30099">
              <w:rPr>
                <w:rStyle w:val="Hyperlink"/>
                <w:noProof/>
              </w:rPr>
              <w:t>2.2</w:t>
            </w:r>
            <w:r>
              <w:rPr>
                <w:rFonts w:eastAsiaTheme="minorEastAsia"/>
                <w:bCs w:val="0"/>
                <w:noProof/>
                <w:sz w:val="22"/>
                <w:lang w:eastAsia="en-GB"/>
              </w:rPr>
              <w:tab/>
            </w:r>
            <w:r w:rsidRPr="00E30099">
              <w:rPr>
                <w:rStyle w:val="Hyperlink"/>
                <w:noProof/>
              </w:rPr>
              <w:t>Grant rates and co-financing (Reg. Art. 6.4)</w:t>
            </w:r>
            <w:r>
              <w:rPr>
                <w:noProof/>
                <w:webHidden/>
              </w:rPr>
              <w:tab/>
            </w:r>
            <w:r>
              <w:rPr>
                <w:noProof/>
                <w:webHidden/>
              </w:rPr>
              <w:fldChar w:fldCharType="begin"/>
            </w:r>
            <w:r>
              <w:rPr>
                <w:noProof/>
                <w:webHidden/>
              </w:rPr>
              <w:instrText xml:space="preserve"> PAGEREF _Toc484174831 \h </w:instrText>
            </w:r>
            <w:r>
              <w:rPr>
                <w:noProof/>
                <w:webHidden/>
              </w:rPr>
            </w:r>
            <w:r>
              <w:rPr>
                <w:noProof/>
                <w:webHidden/>
              </w:rPr>
              <w:fldChar w:fldCharType="separate"/>
            </w:r>
            <w:r>
              <w:rPr>
                <w:noProof/>
                <w:webHidden/>
              </w:rPr>
              <w:t>9</w:t>
            </w:r>
            <w:r>
              <w:rPr>
                <w:noProof/>
                <w:webHidden/>
              </w:rPr>
              <w:fldChar w:fldCharType="end"/>
            </w:r>
          </w:hyperlink>
        </w:p>
        <w:p w14:paraId="04F65276" w14:textId="77777777" w:rsidR="00DE4338" w:rsidRDefault="00DE4338">
          <w:pPr>
            <w:pStyle w:val="TOC2"/>
            <w:rPr>
              <w:rFonts w:eastAsiaTheme="minorEastAsia"/>
              <w:bCs w:val="0"/>
              <w:noProof/>
              <w:sz w:val="22"/>
              <w:lang w:eastAsia="en-GB"/>
            </w:rPr>
          </w:pPr>
          <w:hyperlink w:anchor="_Toc484174832" w:history="1">
            <w:r w:rsidRPr="00E30099">
              <w:rPr>
                <w:rStyle w:val="Hyperlink"/>
                <w:noProof/>
              </w:rPr>
              <w:t>2.3</w:t>
            </w:r>
            <w:r>
              <w:rPr>
                <w:rFonts w:eastAsiaTheme="minorEastAsia"/>
                <w:bCs w:val="0"/>
                <w:noProof/>
                <w:sz w:val="22"/>
                <w:lang w:eastAsia="en-GB"/>
              </w:rPr>
              <w:tab/>
            </w:r>
            <w:r w:rsidRPr="00E30099">
              <w:rPr>
                <w:rStyle w:val="Hyperlink"/>
                <w:noProof/>
              </w:rPr>
              <w:t>Technical Assistance to the Beneficiary State (Reg. Art. 8.11)</w:t>
            </w:r>
            <w:r>
              <w:rPr>
                <w:noProof/>
                <w:webHidden/>
              </w:rPr>
              <w:tab/>
            </w:r>
            <w:r>
              <w:rPr>
                <w:noProof/>
                <w:webHidden/>
              </w:rPr>
              <w:fldChar w:fldCharType="begin"/>
            </w:r>
            <w:r>
              <w:rPr>
                <w:noProof/>
                <w:webHidden/>
              </w:rPr>
              <w:instrText xml:space="preserve"> PAGEREF _Toc484174832 \h </w:instrText>
            </w:r>
            <w:r>
              <w:rPr>
                <w:noProof/>
                <w:webHidden/>
              </w:rPr>
            </w:r>
            <w:r>
              <w:rPr>
                <w:noProof/>
                <w:webHidden/>
              </w:rPr>
              <w:fldChar w:fldCharType="separate"/>
            </w:r>
            <w:r>
              <w:rPr>
                <w:noProof/>
                <w:webHidden/>
              </w:rPr>
              <w:t>11</w:t>
            </w:r>
            <w:r>
              <w:rPr>
                <w:noProof/>
                <w:webHidden/>
              </w:rPr>
              <w:fldChar w:fldCharType="end"/>
            </w:r>
          </w:hyperlink>
        </w:p>
        <w:p w14:paraId="78C61C01" w14:textId="77777777" w:rsidR="00DE4338" w:rsidRDefault="00DE4338">
          <w:pPr>
            <w:pStyle w:val="TOC2"/>
            <w:rPr>
              <w:rFonts w:eastAsiaTheme="minorEastAsia"/>
              <w:bCs w:val="0"/>
              <w:noProof/>
              <w:sz w:val="22"/>
              <w:lang w:eastAsia="en-GB"/>
            </w:rPr>
          </w:pPr>
          <w:hyperlink w:anchor="_Toc484174833" w:history="1">
            <w:r w:rsidRPr="00E30099">
              <w:rPr>
                <w:rStyle w:val="Hyperlink"/>
                <w:noProof/>
              </w:rPr>
              <w:t>2.4</w:t>
            </w:r>
            <w:r>
              <w:rPr>
                <w:rFonts w:eastAsiaTheme="minorEastAsia"/>
                <w:bCs w:val="0"/>
                <w:noProof/>
                <w:sz w:val="22"/>
                <w:lang w:eastAsia="en-GB"/>
              </w:rPr>
              <w:tab/>
            </w:r>
            <w:r w:rsidRPr="00E30099">
              <w:rPr>
                <w:rStyle w:val="Hyperlink"/>
                <w:noProof/>
              </w:rPr>
              <w:t>General principles on the eligibility of expenditures (Reg. Art. 8.2)</w:t>
            </w:r>
            <w:r>
              <w:rPr>
                <w:noProof/>
                <w:webHidden/>
              </w:rPr>
              <w:tab/>
            </w:r>
            <w:r>
              <w:rPr>
                <w:noProof/>
                <w:webHidden/>
              </w:rPr>
              <w:fldChar w:fldCharType="begin"/>
            </w:r>
            <w:r>
              <w:rPr>
                <w:noProof/>
                <w:webHidden/>
              </w:rPr>
              <w:instrText xml:space="preserve"> PAGEREF _Toc484174833 \h </w:instrText>
            </w:r>
            <w:r>
              <w:rPr>
                <w:noProof/>
                <w:webHidden/>
              </w:rPr>
            </w:r>
            <w:r>
              <w:rPr>
                <w:noProof/>
                <w:webHidden/>
              </w:rPr>
              <w:fldChar w:fldCharType="separate"/>
            </w:r>
            <w:r>
              <w:rPr>
                <w:noProof/>
                <w:webHidden/>
              </w:rPr>
              <w:t>12</w:t>
            </w:r>
            <w:r>
              <w:rPr>
                <w:noProof/>
                <w:webHidden/>
              </w:rPr>
              <w:fldChar w:fldCharType="end"/>
            </w:r>
          </w:hyperlink>
        </w:p>
        <w:p w14:paraId="632D59D5" w14:textId="77777777" w:rsidR="00DE4338" w:rsidRDefault="00DE4338">
          <w:pPr>
            <w:pStyle w:val="TOC2"/>
            <w:rPr>
              <w:rFonts w:eastAsiaTheme="minorEastAsia"/>
              <w:bCs w:val="0"/>
              <w:noProof/>
              <w:sz w:val="22"/>
              <w:lang w:eastAsia="en-GB"/>
            </w:rPr>
          </w:pPr>
          <w:hyperlink w:anchor="_Toc484174834" w:history="1">
            <w:r w:rsidRPr="00E30099">
              <w:rPr>
                <w:rStyle w:val="Hyperlink"/>
                <w:noProof/>
              </w:rPr>
              <w:t>2.5</w:t>
            </w:r>
            <w:r>
              <w:rPr>
                <w:rFonts w:eastAsiaTheme="minorEastAsia"/>
                <w:bCs w:val="0"/>
                <w:noProof/>
                <w:sz w:val="22"/>
                <w:lang w:eastAsia="en-GB"/>
              </w:rPr>
              <w:tab/>
            </w:r>
            <w:r w:rsidRPr="00E30099">
              <w:rPr>
                <w:rStyle w:val="Hyperlink"/>
                <w:noProof/>
              </w:rPr>
              <w:t>Eligible expenditure under the fund for bilateral relations</w:t>
            </w:r>
            <w:r>
              <w:rPr>
                <w:noProof/>
                <w:webHidden/>
              </w:rPr>
              <w:tab/>
            </w:r>
            <w:r>
              <w:rPr>
                <w:noProof/>
                <w:webHidden/>
              </w:rPr>
              <w:fldChar w:fldCharType="begin"/>
            </w:r>
            <w:r>
              <w:rPr>
                <w:noProof/>
                <w:webHidden/>
              </w:rPr>
              <w:instrText xml:space="preserve"> PAGEREF _Toc484174834 \h </w:instrText>
            </w:r>
            <w:r>
              <w:rPr>
                <w:noProof/>
                <w:webHidden/>
              </w:rPr>
            </w:r>
            <w:r>
              <w:rPr>
                <w:noProof/>
                <w:webHidden/>
              </w:rPr>
              <w:fldChar w:fldCharType="separate"/>
            </w:r>
            <w:r>
              <w:rPr>
                <w:noProof/>
                <w:webHidden/>
              </w:rPr>
              <w:t>14</w:t>
            </w:r>
            <w:r>
              <w:rPr>
                <w:noProof/>
                <w:webHidden/>
              </w:rPr>
              <w:fldChar w:fldCharType="end"/>
            </w:r>
          </w:hyperlink>
        </w:p>
        <w:p w14:paraId="5DDC29CD" w14:textId="77777777" w:rsidR="00DE4338" w:rsidRDefault="00DE4338">
          <w:pPr>
            <w:pStyle w:val="TOC2"/>
            <w:rPr>
              <w:rFonts w:eastAsiaTheme="minorEastAsia"/>
              <w:bCs w:val="0"/>
              <w:noProof/>
              <w:sz w:val="22"/>
              <w:lang w:eastAsia="en-GB"/>
            </w:rPr>
          </w:pPr>
          <w:hyperlink w:anchor="_Toc484174835" w:history="1">
            <w:r w:rsidRPr="00E30099">
              <w:rPr>
                <w:rStyle w:val="Hyperlink"/>
                <w:noProof/>
              </w:rPr>
              <w:t>2.6</w:t>
            </w:r>
            <w:r>
              <w:rPr>
                <w:rFonts w:eastAsiaTheme="minorEastAsia"/>
                <w:bCs w:val="0"/>
                <w:noProof/>
                <w:sz w:val="22"/>
                <w:lang w:eastAsia="en-GB"/>
              </w:rPr>
              <w:tab/>
            </w:r>
            <w:r w:rsidRPr="00E30099">
              <w:rPr>
                <w:rStyle w:val="Hyperlink"/>
                <w:noProof/>
              </w:rPr>
              <w:t>Eligible expenditure of a programme (Reg. Art. 8.1, 8.10)</w:t>
            </w:r>
            <w:r>
              <w:rPr>
                <w:noProof/>
                <w:webHidden/>
              </w:rPr>
              <w:tab/>
            </w:r>
            <w:r>
              <w:rPr>
                <w:noProof/>
                <w:webHidden/>
              </w:rPr>
              <w:fldChar w:fldCharType="begin"/>
            </w:r>
            <w:r>
              <w:rPr>
                <w:noProof/>
                <w:webHidden/>
              </w:rPr>
              <w:instrText xml:space="preserve"> PAGEREF _Toc484174835 \h </w:instrText>
            </w:r>
            <w:r>
              <w:rPr>
                <w:noProof/>
                <w:webHidden/>
              </w:rPr>
            </w:r>
            <w:r>
              <w:rPr>
                <w:noProof/>
                <w:webHidden/>
              </w:rPr>
              <w:fldChar w:fldCharType="separate"/>
            </w:r>
            <w:r>
              <w:rPr>
                <w:noProof/>
                <w:webHidden/>
              </w:rPr>
              <w:t>17</w:t>
            </w:r>
            <w:r>
              <w:rPr>
                <w:noProof/>
                <w:webHidden/>
              </w:rPr>
              <w:fldChar w:fldCharType="end"/>
            </w:r>
          </w:hyperlink>
        </w:p>
        <w:p w14:paraId="623C8D1D" w14:textId="77777777" w:rsidR="00DE4338" w:rsidRDefault="00DE4338">
          <w:pPr>
            <w:pStyle w:val="TOC2"/>
            <w:rPr>
              <w:rFonts w:eastAsiaTheme="minorEastAsia"/>
              <w:bCs w:val="0"/>
              <w:noProof/>
              <w:sz w:val="22"/>
              <w:lang w:eastAsia="en-GB"/>
            </w:rPr>
          </w:pPr>
          <w:hyperlink w:anchor="_Toc484174836" w:history="1">
            <w:r w:rsidRPr="00E30099">
              <w:rPr>
                <w:rStyle w:val="Hyperlink"/>
                <w:noProof/>
              </w:rPr>
              <w:t>2.7</w:t>
            </w:r>
            <w:r>
              <w:rPr>
                <w:rFonts w:eastAsiaTheme="minorEastAsia"/>
                <w:bCs w:val="0"/>
                <w:noProof/>
                <w:sz w:val="22"/>
                <w:lang w:eastAsia="en-GB"/>
              </w:rPr>
              <w:tab/>
            </w:r>
            <w:r w:rsidRPr="00E30099">
              <w:rPr>
                <w:rStyle w:val="Hyperlink"/>
                <w:noProof/>
              </w:rPr>
              <w:t>Eligible direct expenditures of a project (Reg. Art. 8.3)</w:t>
            </w:r>
            <w:r>
              <w:rPr>
                <w:noProof/>
                <w:webHidden/>
              </w:rPr>
              <w:tab/>
            </w:r>
            <w:r>
              <w:rPr>
                <w:noProof/>
                <w:webHidden/>
              </w:rPr>
              <w:fldChar w:fldCharType="begin"/>
            </w:r>
            <w:r>
              <w:rPr>
                <w:noProof/>
                <w:webHidden/>
              </w:rPr>
              <w:instrText xml:space="preserve"> PAGEREF _Toc484174836 \h </w:instrText>
            </w:r>
            <w:r>
              <w:rPr>
                <w:noProof/>
                <w:webHidden/>
              </w:rPr>
            </w:r>
            <w:r>
              <w:rPr>
                <w:noProof/>
                <w:webHidden/>
              </w:rPr>
              <w:fldChar w:fldCharType="separate"/>
            </w:r>
            <w:r>
              <w:rPr>
                <w:noProof/>
                <w:webHidden/>
              </w:rPr>
              <w:t>19</w:t>
            </w:r>
            <w:r>
              <w:rPr>
                <w:noProof/>
                <w:webHidden/>
              </w:rPr>
              <w:fldChar w:fldCharType="end"/>
            </w:r>
          </w:hyperlink>
        </w:p>
        <w:p w14:paraId="47FE841A" w14:textId="77777777" w:rsidR="00DE4338" w:rsidRDefault="00DE4338">
          <w:pPr>
            <w:pStyle w:val="TOC2"/>
            <w:rPr>
              <w:rFonts w:eastAsiaTheme="minorEastAsia"/>
              <w:bCs w:val="0"/>
              <w:noProof/>
              <w:sz w:val="22"/>
              <w:lang w:eastAsia="en-GB"/>
            </w:rPr>
          </w:pPr>
          <w:hyperlink w:anchor="_Toc484174837" w:history="1">
            <w:r w:rsidRPr="00E30099">
              <w:rPr>
                <w:rStyle w:val="Hyperlink"/>
                <w:noProof/>
              </w:rPr>
              <w:t>2.8</w:t>
            </w:r>
            <w:r>
              <w:rPr>
                <w:rFonts w:eastAsiaTheme="minorEastAsia"/>
                <w:bCs w:val="0"/>
                <w:noProof/>
                <w:sz w:val="22"/>
                <w:lang w:eastAsia="en-GB"/>
              </w:rPr>
              <w:tab/>
            </w:r>
            <w:r w:rsidRPr="00E30099">
              <w:rPr>
                <w:rStyle w:val="Hyperlink"/>
                <w:noProof/>
              </w:rPr>
              <w:t>Indirect expenditure in projects (Reg. art. 8.5)</w:t>
            </w:r>
            <w:r>
              <w:rPr>
                <w:noProof/>
                <w:webHidden/>
              </w:rPr>
              <w:tab/>
            </w:r>
            <w:r>
              <w:rPr>
                <w:noProof/>
                <w:webHidden/>
              </w:rPr>
              <w:fldChar w:fldCharType="begin"/>
            </w:r>
            <w:r>
              <w:rPr>
                <w:noProof/>
                <w:webHidden/>
              </w:rPr>
              <w:instrText xml:space="preserve"> PAGEREF _Toc484174837 \h </w:instrText>
            </w:r>
            <w:r>
              <w:rPr>
                <w:noProof/>
                <w:webHidden/>
              </w:rPr>
            </w:r>
            <w:r>
              <w:rPr>
                <w:noProof/>
                <w:webHidden/>
              </w:rPr>
              <w:fldChar w:fldCharType="separate"/>
            </w:r>
            <w:r>
              <w:rPr>
                <w:noProof/>
                <w:webHidden/>
              </w:rPr>
              <w:t>22</w:t>
            </w:r>
            <w:r>
              <w:rPr>
                <w:noProof/>
                <w:webHidden/>
              </w:rPr>
              <w:fldChar w:fldCharType="end"/>
            </w:r>
          </w:hyperlink>
        </w:p>
        <w:p w14:paraId="0A1EA8DF" w14:textId="77777777" w:rsidR="00DE4338" w:rsidRDefault="00DE4338">
          <w:pPr>
            <w:pStyle w:val="TOC2"/>
            <w:rPr>
              <w:rFonts w:eastAsiaTheme="minorEastAsia"/>
              <w:bCs w:val="0"/>
              <w:noProof/>
              <w:sz w:val="22"/>
              <w:lang w:eastAsia="en-GB"/>
            </w:rPr>
          </w:pPr>
          <w:hyperlink w:anchor="_Toc484174838" w:history="1">
            <w:r w:rsidRPr="00E30099">
              <w:rPr>
                <w:rStyle w:val="Hyperlink"/>
                <w:noProof/>
              </w:rPr>
              <w:t>2.9</w:t>
            </w:r>
            <w:r>
              <w:rPr>
                <w:rFonts w:eastAsiaTheme="minorEastAsia"/>
                <w:bCs w:val="0"/>
                <w:noProof/>
                <w:sz w:val="22"/>
                <w:lang w:eastAsia="en-GB"/>
              </w:rPr>
              <w:tab/>
            </w:r>
            <w:r w:rsidRPr="00E30099">
              <w:rPr>
                <w:rStyle w:val="Hyperlink"/>
                <w:noProof/>
              </w:rPr>
              <w:t>Standard scales of unit costs (Reg. art. 8.4)</w:t>
            </w:r>
            <w:r>
              <w:rPr>
                <w:noProof/>
                <w:webHidden/>
              </w:rPr>
              <w:tab/>
            </w:r>
            <w:r>
              <w:rPr>
                <w:noProof/>
                <w:webHidden/>
              </w:rPr>
              <w:fldChar w:fldCharType="begin"/>
            </w:r>
            <w:r>
              <w:rPr>
                <w:noProof/>
                <w:webHidden/>
              </w:rPr>
              <w:instrText xml:space="preserve"> PAGEREF _Toc484174838 \h </w:instrText>
            </w:r>
            <w:r>
              <w:rPr>
                <w:noProof/>
                <w:webHidden/>
              </w:rPr>
            </w:r>
            <w:r>
              <w:rPr>
                <w:noProof/>
                <w:webHidden/>
              </w:rPr>
              <w:fldChar w:fldCharType="separate"/>
            </w:r>
            <w:r>
              <w:rPr>
                <w:noProof/>
                <w:webHidden/>
              </w:rPr>
              <w:t>23</w:t>
            </w:r>
            <w:r>
              <w:rPr>
                <w:noProof/>
                <w:webHidden/>
              </w:rPr>
              <w:fldChar w:fldCharType="end"/>
            </w:r>
          </w:hyperlink>
        </w:p>
        <w:p w14:paraId="55413B2B" w14:textId="77777777" w:rsidR="00DE4338" w:rsidRDefault="00DE4338">
          <w:pPr>
            <w:pStyle w:val="TOC2"/>
            <w:rPr>
              <w:rFonts w:eastAsiaTheme="minorEastAsia"/>
              <w:bCs w:val="0"/>
              <w:noProof/>
              <w:sz w:val="22"/>
              <w:lang w:eastAsia="en-GB"/>
            </w:rPr>
          </w:pPr>
          <w:hyperlink w:anchor="_Toc484174839" w:history="1">
            <w:r w:rsidRPr="00E30099">
              <w:rPr>
                <w:rStyle w:val="Hyperlink"/>
                <w:noProof/>
              </w:rPr>
              <w:t>2.10</w:t>
            </w:r>
            <w:r>
              <w:rPr>
                <w:rFonts w:eastAsiaTheme="minorEastAsia"/>
                <w:bCs w:val="0"/>
                <w:noProof/>
                <w:sz w:val="22"/>
                <w:lang w:eastAsia="en-GB"/>
              </w:rPr>
              <w:tab/>
            </w:r>
            <w:r w:rsidRPr="00E30099">
              <w:rPr>
                <w:rStyle w:val="Hyperlink"/>
                <w:noProof/>
              </w:rPr>
              <w:t>Non-eligible expenditure – Excluded costs (Reg. Art. 8.7)</w:t>
            </w:r>
            <w:r>
              <w:rPr>
                <w:noProof/>
                <w:webHidden/>
              </w:rPr>
              <w:tab/>
            </w:r>
            <w:r>
              <w:rPr>
                <w:noProof/>
                <w:webHidden/>
              </w:rPr>
              <w:fldChar w:fldCharType="begin"/>
            </w:r>
            <w:r>
              <w:rPr>
                <w:noProof/>
                <w:webHidden/>
              </w:rPr>
              <w:instrText xml:space="preserve"> PAGEREF _Toc484174839 \h </w:instrText>
            </w:r>
            <w:r>
              <w:rPr>
                <w:noProof/>
                <w:webHidden/>
              </w:rPr>
            </w:r>
            <w:r>
              <w:rPr>
                <w:noProof/>
                <w:webHidden/>
              </w:rPr>
              <w:fldChar w:fldCharType="separate"/>
            </w:r>
            <w:r>
              <w:rPr>
                <w:noProof/>
                <w:webHidden/>
              </w:rPr>
              <w:t>24</w:t>
            </w:r>
            <w:r>
              <w:rPr>
                <w:noProof/>
                <w:webHidden/>
              </w:rPr>
              <w:fldChar w:fldCharType="end"/>
            </w:r>
          </w:hyperlink>
        </w:p>
        <w:p w14:paraId="4287B763" w14:textId="77777777" w:rsidR="00DE4338" w:rsidRDefault="00DE4338">
          <w:pPr>
            <w:pStyle w:val="TOC2"/>
            <w:rPr>
              <w:rFonts w:eastAsiaTheme="minorEastAsia"/>
              <w:bCs w:val="0"/>
              <w:noProof/>
              <w:sz w:val="22"/>
              <w:lang w:eastAsia="en-GB"/>
            </w:rPr>
          </w:pPr>
          <w:hyperlink w:anchor="_Toc484174840" w:history="1">
            <w:r w:rsidRPr="00E30099">
              <w:rPr>
                <w:rStyle w:val="Hyperlink"/>
                <w:noProof/>
              </w:rPr>
              <w:t>2.11</w:t>
            </w:r>
            <w:r>
              <w:rPr>
                <w:rFonts w:eastAsiaTheme="minorEastAsia"/>
                <w:bCs w:val="0"/>
                <w:noProof/>
                <w:sz w:val="22"/>
                <w:lang w:eastAsia="en-GB"/>
              </w:rPr>
              <w:tab/>
            </w:r>
            <w:r w:rsidRPr="00E30099">
              <w:rPr>
                <w:rStyle w:val="Hyperlink"/>
                <w:noProof/>
              </w:rPr>
              <w:t>Management and Control Systems (Reg. Art. 5.1)</w:t>
            </w:r>
            <w:r>
              <w:rPr>
                <w:noProof/>
                <w:webHidden/>
              </w:rPr>
              <w:tab/>
            </w:r>
            <w:r>
              <w:rPr>
                <w:noProof/>
                <w:webHidden/>
              </w:rPr>
              <w:fldChar w:fldCharType="begin"/>
            </w:r>
            <w:r>
              <w:rPr>
                <w:noProof/>
                <w:webHidden/>
              </w:rPr>
              <w:instrText xml:space="preserve"> PAGEREF _Toc484174840 \h </w:instrText>
            </w:r>
            <w:r>
              <w:rPr>
                <w:noProof/>
                <w:webHidden/>
              </w:rPr>
            </w:r>
            <w:r>
              <w:rPr>
                <w:noProof/>
                <w:webHidden/>
              </w:rPr>
              <w:fldChar w:fldCharType="separate"/>
            </w:r>
            <w:r>
              <w:rPr>
                <w:noProof/>
                <w:webHidden/>
              </w:rPr>
              <w:t>25</w:t>
            </w:r>
            <w:r>
              <w:rPr>
                <w:noProof/>
                <w:webHidden/>
              </w:rPr>
              <w:fldChar w:fldCharType="end"/>
            </w:r>
          </w:hyperlink>
        </w:p>
        <w:p w14:paraId="6B9337D7" w14:textId="77777777" w:rsidR="00DE4338" w:rsidRDefault="00DE4338">
          <w:pPr>
            <w:pStyle w:val="TOC1"/>
            <w:rPr>
              <w:rFonts w:asciiTheme="minorHAnsi" w:eastAsiaTheme="minorEastAsia" w:hAnsiTheme="minorHAnsi"/>
              <w:b w:val="0"/>
              <w:bCs w:val="0"/>
              <w:caps w:val="0"/>
              <w:noProof/>
              <w:sz w:val="22"/>
              <w:u w:val="none"/>
              <w:lang w:eastAsia="en-GB"/>
            </w:rPr>
          </w:pPr>
          <w:hyperlink w:anchor="_Toc484174841" w:history="1">
            <w:r w:rsidRPr="00E30099">
              <w:rPr>
                <w:rStyle w:val="Hyperlink"/>
                <w:noProof/>
              </w:rPr>
              <w:t>3</w:t>
            </w:r>
            <w:r>
              <w:rPr>
                <w:rFonts w:asciiTheme="minorHAnsi" w:eastAsiaTheme="minorEastAsia" w:hAnsiTheme="minorHAnsi"/>
                <w:b w:val="0"/>
                <w:bCs w:val="0"/>
                <w:caps w:val="0"/>
                <w:noProof/>
                <w:sz w:val="22"/>
                <w:u w:val="none"/>
                <w:lang w:eastAsia="en-GB"/>
              </w:rPr>
              <w:tab/>
            </w:r>
            <w:r w:rsidRPr="00E30099">
              <w:rPr>
                <w:rStyle w:val="Hyperlink"/>
                <w:noProof/>
              </w:rPr>
              <w:t>Implementation phase</w:t>
            </w:r>
            <w:r>
              <w:rPr>
                <w:noProof/>
                <w:webHidden/>
              </w:rPr>
              <w:tab/>
            </w:r>
            <w:r>
              <w:rPr>
                <w:noProof/>
                <w:webHidden/>
              </w:rPr>
              <w:fldChar w:fldCharType="begin"/>
            </w:r>
            <w:r>
              <w:rPr>
                <w:noProof/>
                <w:webHidden/>
              </w:rPr>
              <w:instrText xml:space="preserve"> PAGEREF _Toc484174841 \h </w:instrText>
            </w:r>
            <w:r>
              <w:rPr>
                <w:noProof/>
                <w:webHidden/>
              </w:rPr>
            </w:r>
            <w:r>
              <w:rPr>
                <w:noProof/>
                <w:webHidden/>
              </w:rPr>
              <w:fldChar w:fldCharType="separate"/>
            </w:r>
            <w:r>
              <w:rPr>
                <w:noProof/>
                <w:webHidden/>
              </w:rPr>
              <w:t>29</w:t>
            </w:r>
            <w:r>
              <w:rPr>
                <w:noProof/>
                <w:webHidden/>
              </w:rPr>
              <w:fldChar w:fldCharType="end"/>
            </w:r>
          </w:hyperlink>
        </w:p>
        <w:p w14:paraId="09D21C02" w14:textId="77777777" w:rsidR="00DE4338" w:rsidRDefault="00DE4338">
          <w:pPr>
            <w:pStyle w:val="TOC2"/>
            <w:rPr>
              <w:rFonts w:eastAsiaTheme="minorEastAsia"/>
              <w:bCs w:val="0"/>
              <w:noProof/>
              <w:sz w:val="22"/>
              <w:lang w:eastAsia="en-GB"/>
            </w:rPr>
          </w:pPr>
          <w:hyperlink w:anchor="_Toc484174842" w:history="1">
            <w:r w:rsidRPr="00E30099">
              <w:rPr>
                <w:rStyle w:val="Hyperlink"/>
                <w:noProof/>
              </w:rPr>
              <w:t>3.1</w:t>
            </w:r>
            <w:r>
              <w:rPr>
                <w:rFonts w:eastAsiaTheme="minorEastAsia"/>
                <w:bCs w:val="0"/>
                <w:noProof/>
                <w:sz w:val="22"/>
                <w:lang w:eastAsia="en-GB"/>
              </w:rPr>
              <w:tab/>
            </w:r>
            <w:r w:rsidRPr="00E30099">
              <w:rPr>
                <w:rStyle w:val="Hyperlink"/>
                <w:noProof/>
              </w:rPr>
              <w:t>Reporting and payments (Reg. Art. 9.1)</w:t>
            </w:r>
            <w:r>
              <w:rPr>
                <w:noProof/>
                <w:webHidden/>
              </w:rPr>
              <w:tab/>
            </w:r>
            <w:r>
              <w:rPr>
                <w:noProof/>
                <w:webHidden/>
              </w:rPr>
              <w:fldChar w:fldCharType="begin"/>
            </w:r>
            <w:r>
              <w:rPr>
                <w:noProof/>
                <w:webHidden/>
              </w:rPr>
              <w:instrText xml:space="preserve"> PAGEREF _Toc484174842 \h </w:instrText>
            </w:r>
            <w:r>
              <w:rPr>
                <w:noProof/>
                <w:webHidden/>
              </w:rPr>
            </w:r>
            <w:r>
              <w:rPr>
                <w:noProof/>
                <w:webHidden/>
              </w:rPr>
              <w:fldChar w:fldCharType="separate"/>
            </w:r>
            <w:r>
              <w:rPr>
                <w:noProof/>
                <w:webHidden/>
              </w:rPr>
              <w:t>29</w:t>
            </w:r>
            <w:r>
              <w:rPr>
                <w:noProof/>
                <w:webHidden/>
              </w:rPr>
              <w:fldChar w:fldCharType="end"/>
            </w:r>
          </w:hyperlink>
        </w:p>
        <w:p w14:paraId="5C893797" w14:textId="77777777" w:rsidR="00DE4338" w:rsidRDefault="00DE4338">
          <w:pPr>
            <w:pStyle w:val="TOC2"/>
            <w:rPr>
              <w:rFonts w:eastAsiaTheme="minorEastAsia"/>
              <w:bCs w:val="0"/>
              <w:noProof/>
              <w:sz w:val="22"/>
              <w:lang w:eastAsia="en-GB"/>
            </w:rPr>
          </w:pPr>
          <w:hyperlink w:anchor="_Toc484174843" w:history="1">
            <w:r w:rsidRPr="00E30099">
              <w:rPr>
                <w:rStyle w:val="Hyperlink"/>
                <w:noProof/>
              </w:rPr>
              <w:t>3.2</w:t>
            </w:r>
            <w:r>
              <w:rPr>
                <w:rFonts w:eastAsiaTheme="minorEastAsia"/>
                <w:bCs w:val="0"/>
                <w:noProof/>
                <w:sz w:val="22"/>
                <w:lang w:eastAsia="en-GB"/>
              </w:rPr>
              <w:tab/>
            </w:r>
            <w:r w:rsidRPr="00E30099">
              <w:rPr>
                <w:rStyle w:val="Hyperlink"/>
                <w:noProof/>
              </w:rPr>
              <w:t>Certification of expenditure by the CA (Reg. Art. 5.4)</w:t>
            </w:r>
            <w:r>
              <w:rPr>
                <w:noProof/>
                <w:webHidden/>
              </w:rPr>
              <w:tab/>
            </w:r>
            <w:r>
              <w:rPr>
                <w:noProof/>
                <w:webHidden/>
              </w:rPr>
              <w:fldChar w:fldCharType="begin"/>
            </w:r>
            <w:r>
              <w:rPr>
                <w:noProof/>
                <w:webHidden/>
              </w:rPr>
              <w:instrText xml:space="preserve"> PAGEREF _Toc484174843 \h </w:instrText>
            </w:r>
            <w:r>
              <w:rPr>
                <w:noProof/>
                <w:webHidden/>
              </w:rPr>
            </w:r>
            <w:r>
              <w:rPr>
                <w:noProof/>
                <w:webHidden/>
              </w:rPr>
              <w:fldChar w:fldCharType="separate"/>
            </w:r>
            <w:r>
              <w:rPr>
                <w:noProof/>
                <w:webHidden/>
              </w:rPr>
              <w:t>32</w:t>
            </w:r>
            <w:r>
              <w:rPr>
                <w:noProof/>
                <w:webHidden/>
              </w:rPr>
              <w:fldChar w:fldCharType="end"/>
            </w:r>
          </w:hyperlink>
        </w:p>
        <w:p w14:paraId="172684E8" w14:textId="77777777" w:rsidR="00DE4338" w:rsidRDefault="00DE4338">
          <w:pPr>
            <w:pStyle w:val="TOC2"/>
            <w:rPr>
              <w:rFonts w:eastAsiaTheme="minorEastAsia"/>
              <w:bCs w:val="0"/>
              <w:noProof/>
              <w:sz w:val="22"/>
              <w:lang w:eastAsia="en-GB"/>
            </w:rPr>
          </w:pPr>
          <w:hyperlink w:anchor="_Toc484174844" w:history="1">
            <w:r w:rsidRPr="00E30099">
              <w:rPr>
                <w:rStyle w:val="Hyperlink"/>
                <w:noProof/>
              </w:rPr>
              <w:t>3.3</w:t>
            </w:r>
            <w:r>
              <w:rPr>
                <w:rFonts w:eastAsiaTheme="minorEastAsia"/>
                <w:bCs w:val="0"/>
                <w:noProof/>
                <w:sz w:val="22"/>
                <w:lang w:eastAsia="en-GB"/>
              </w:rPr>
              <w:tab/>
            </w:r>
            <w:r w:rsidRPr="00E30099">
              <w:rPr>
                <w:rStyle w:val="Hyperlink"/>
                <w:rFonts w:cs="Times New Roman"/>
                <w:noProof/>
              </w:rPr>
              <w:t>Compliance based monitoring:</w:t>
            </w:r>
            <w:r w:rsidRPr="00E30099">
              <w:rPr>
                <w:rStyle w:val="Hyperlink"/>
                <w:noProof/>
              </w:rPr>
              <w:t xml:space="preserve"> verifications by the PO (Reg. Art. 5.6)</w:t>
            </w:r>
            <w:r>
              <w:rPr>
                <w:noProof/>
                <w:webHidden/>
              </w:rPr>
              <w:tab/>
            </w:r>
            <w:r>
              <w:rPr>
                <w:noProof/>
                <w:webHidden/>
              </w:rPr>
              <w:fldChar w:fldCharType="begin"/>
            </w:r>
            <w:r>
              <w:rPr>
                <w:noProof/>
                <w:webHidden/>
              </w:rPr>
              <w:instrText xml:space="preserve"> PAGEREF _Toc484174844 \h </w:instrText>
            </w:r>
            <w:r>
              <w:rPr>
                <w:noProof/>
                <w:webHidden/>
              </w:rPr>
            </w:r>
            <w:r>
              <w:rPr>
                <w:noProof/>
                <w:webHidden/>
              </w:rPr>
              <w:fldChar w:fldCharType="separate"/>
            </w:r>
            <w:r>
              <w:rPr>
                <w:noProof/>
                <w:webHidden/>
              </w:rPr>
              <w:t>34</w:t>
            </w:r>
            <w:r>
              <w:rPr>
                <w:noProof/>
                <w:webHidden/>
              </w:rPr>
              <w:fldChar w:fldCharType="end"/>
            </w:r>
          </w:hyperlink>
        </w:p>
        <w:p w14:paraId="3BC58515" w14:textId="77777777" w:rsidR="00DE4338" w:rsidRDefault="00DE4338">
          <w:pPr>
            <w:pStyle w:val="TOC2"/>
            <w:rPr>
              <w:rFonts w:eastAsiaTheme="minorEastAsia"/>
              <w:bCs w:val="0"/>
              <w:noProof/>
              <w:sz w:val="22"/>
              <w:lang w:eastAsia="en-GB"/>
            </w:rPr>
          </w:pPr>
          <w:hyperlink w:anchor="_Toc484174845" w:history="1">
            <w:r w:rsidRPr="00E30099">
              <w:rPr>
                <w:rStyle w:val="Hyperlink"/>
                <w:noProof/>
              </w:rPr>
              <w:t>3.4</w:t>
            </w:r>
            <w:r>
              <w:rPr>
                <w:rFonts w:eastAsiaTheme="minorEastAsia"/>
                <w:bCs w:val="0"/>
                <w:noProof/>
                <w:sz w:val="22"/>
                <w:lang w:eastAsia="en-GB"/>
              </w:rPr>
              <w:tab/>
            </w:r>
            <w:r w:rsidRPr="00E30099">
              <w:rPr>
                <w:rStyle w:val="Hyperlink"/>
                <w:noProof/>
              </w:rPr>
              <w:t>Proof of expenditure (Reg. Art. 8.12)</w:t>
            </w:r>
            <w:r>
              <w:rPr>
                <w:noProof/>
                <w:webHidden/>
              </w:rPr>
              <w:tab/>
            </w:r>
            <w:r>
              <w:rPr>
                <w:noProof/>
                <w:webHidden/>
              </w:rPr>
              <w:fldChar w:fldCharType="begin"/>
            </w:r>
            <w:r>
              <w:rPr>
                <w:noProof/>
                <w:webHidden/>
              </w:rPr>
              <w:instrText xml:space="preserve"> PAGEREF _Toc484174845 \h </w:instrText>
            </w:r>
            <w:r>
              <w:rPr>
                <w:noProof/>
                <w:webHidden/>
              </w:rPr>
            </w:r>
            <w:r>
              <w:rPr>
                <w:noProof/>
                <w:webHidden/>
              </w:rPr>
              <w:fldChar w:fldCharType="separate"/>
            </w:r>
            <w:r>
              <w:rPr>
                <w:noProof/>
                <w:webHidden/>
              </w:rPr>
              <w:t>39</w:t>
            </w:r>
            <w:r>
              <w:rPr>
                <w:noProof/>
                <w:webHidden/>
              </w:rPr>
              <w:fldChar w:fldCharType="end"/>
            </w:r>
          </w:hyperlink>
        </w:p>
        <w:p w14:paraId="238F5770" w14:textId="77777777" w:rsidR="00DE4338" w:rsidRDefault="00DE4338">
          <w:pPr>
            <w:pStyle w:val="TOC2"/>
            <w:rPr>
              <w:rFonts w:eastAsiaTheme="minorEastAsia"/>
              <w:bCs w:val="0"/>
              <w:noProof/>
              <w:sz w:val="22"/>
              <w:lang w:eastAsia="en-GB"/>
            </w:rPr>
          </w:pPr>
          <w:hyperlink w:anchor="_Toc484174846" w:history="1">
            <w:r w:rsidRPr="00E30099">
              <w:rPr>
                <w:rStyle w:val="Hyperlink"/>
                <w:noProof/>
              </w:rPr>
              <w:t>3.5</w:t>
            </w:r>
            <w:r>
              <w:rPr>
                <w:rFonts w:eastAsiaTheme="minorEastAsia"/>
                <w:bCs w:val="0"/>
                <w:noProof/>
                <w:sz w:val="22"/>
                <w:lang w:eastAsia="en-GB"/>
              </w:rPr>
              <w:tab/>
            </w:r>
            <w:r w:rsidRPr="00E30099">
              <w:rPr>
                <w:rStyle w:val="Hyperlink"/>
                <w:noProof/>
              </w:rPr>
              <w:t>Programme budget reallocations (Reg. Art. 6.9)</w:t>
            </w:r>
            <w:r>
              <w:rPr>
                <w:noProof/>
                <w:webHidden/>
              </w:rPr>
              <w:tab/>
            </w:r>
            <w:r>
              <w:rPr>
                <w:noProof/>
                <w:webHidden/>
              </w:rPr>
              <w:fldChar w:fldCharType="begin"/>
            </w:r>
            <w:r>
              <w:rPr>
                <w:noProof/>
                <w:webHidden/>
              </w:rPr>
              <w:instrText xml:space="preserve"> PAGEREF _Toc484174846 \h </w:instrText>
            </w:r>
            <w:r>
              <w:rPr>
                <w:noProof/>
                <w:webHidden/>
              </w:rPr>
            </w:r>
            <w:r>
              <w:rPr>
                <w:noProof/>
                <w:webHidden/>
              </w:rPr>
              <w:fldChar w:fldCharType="separate"/>
            </w:r>
            <w:r>
              <w:rPr>
                <w:noProof/>
                <w:webHidden/>
              </w:rPr>
              <w:t>40</w:t>
            </w:r>
            <w:r>
              <w:rPr>
                <w:noProof/>
                <w:webHidden/>
              </w:rPr>
              <w:fldChar w:fldCharType="end"/>
            </w:r>
          </w:hyperlink>
        </w:p>
        <w:p w14:paraId="4D1A313D" w14:textId="77777777" w:rsidR="00DE4338" w:rsidRDefault="00DE4338">
          <w:pPr>
            <w:pStyle w:val="TOC2"/>
            <w:rPr>
              <w:rFonts w:eastAsiaTheme="minorEastAsia"/>
              <w:bCs w:val="0"/>
              <w:noProof/>
              <w:sz w:val="22"/>
              <w:lang w:eastAsia="en-GB"/>
            </w:rPr>
          </w:pPr>
          <w:hyperlink w:anchor="_Toc484174847" w:history="1">
            <w:r w:rsidRPr="00E30099">
              <w:rPr>
                <w:rStyle w:val="Hyperlink"/>
                <w:noProof/>
              </w:rPr>
              <w:t>3.6</w:t>
            </w:r>
            <w:r>
              <w:rPr>
                <w:rFonts w:eastAsiaTheme="minorEastAsia"/>
                <w:bCs w:val="0"/>
                <w:noProof/>
                <w:sz w:val="22"/>
                <w:lang w:eastAsia="en-GB"/>
              </w:rPr>
              <w:tab/>
            </w:r>
            <w:r w:rsidRPr="00E30099">
              <w:rPr>
                <w:rStyle w:val="Hyperlink"/>
                <w:noProof/>
              </w:rPr>
              <w:t>Interest Earned (Reg. Art. 9.7)</w:t>
            </w:r>
            <w:r>
              <w:rPr>
                <w:noProof/>
                <w:webHidden/>
              </w:rPr>
              <w:tab/>
            </w:r>
            <w:r>
              <w:rPr>
                <w:noProof/>
                <w:webHidden/>
              </w:rPr>
              <w:fldChar w:fldCharType="begin"/>
            </w:r>
            <w:r>
              <w:rPr>
                <w:noProof/>
                <w:webHidden/>
              </w:rPr>
              <w:instrText xml:space="preserve"> PAGEREF _Toc484174847 \h </w:instrText>
            </w:r>
            <w:r>
              <w:rPr>
                <w:noProof/>
                <w:webHidden/>
              </w:rPr>
            </w:r>
            <w:r>
              <w:rPr>
                <w:noProof/>
                <w:webHidden/>
              </w:rPr>
              <w:fldChar w:fldCharType="separate"/>
            </w:r>
            <w:r>
              <w:rPr>
                <w:noProof/>
                <w:webHidden/>
              </w:rPr>
              <w:t>40</w:t>
            </w:r>
            <w:r>
              <w:rPr>
                <w:noProof/>
                <w:webHidden/>
              </w:rPr>
              <w:fldChar w:fldCharType="end"/>
            </w:r>
          </w:hyperlink>
        </w:p>
        <w:p w14:paraId="00DFCAEE" w14:textId="77777777" w:rsidR="00DE4338" w:rsidRDefault="00DE4338">
          <w:pPr>
            <w:pStyle w:val="TOC2"/>
            <w:rPr>
              <w:rFonts w:eastAsiaTheme="minorEastAsia"/>
              <w:bCs w:val="0"/>
              <w:noProof/>
              <w:sz w:val="22"/>
              <w:lang w:eastAsia="en-GB"/>
            </w:rPr>
          </w:pPr>
          <w:hyperlink w:anchor="_Toc484174848" w:history="1">
            <w:r w:rsidRPr="00E30099">
              <w:rPr>
                <w:rStyle w:val="Hyperlink"/>
                <w:noProof/>
              </w:rPr>
              <w:t>3.7</w:t>
            </w:r>
            <w:r>
              <w:rPr>
                <w:rFonts w:eastAsiaTheme="minorEastAsia"/>
                <w:bCs w:val="0"/>
                <w:noProof/>
                <w:sz w:val="22"/>
                <w:lang w:eastAsia="en-GB"/>
              </w:rPr>
              <w:tab/>
            </w:r>
            <w:r w:rsidRPr="00E30099">
              <w:rPr>
                <w:rStyle w:val="Hyperlink"/>
                <w:noProof/>
              </w:rPr>
              <w:t>Forecast of likely payment applications (Reg. Art. 9.5)</w:t>
            </w:r>
            <w:r>
              <w:rPr>
                <w:noProof/>
                <w:webHidden/>
              </w:rPr>
              <w:tab/>
            </w:r>
            <w:r>
              <w:rPr>
                <w:noProof/>
                <w:webHidden/>
              </w:rPr>
              <w:fldChar w:fldCharType="begin"/>
            </w:r>
            <w:r>
              <w:rPr>
                <w:noProof/>
                <w:webHidden/>
              </w:rPr>
              <w:instrText xml:space="preserve"> PAGEREF _Toc484174848 \h </w:instrText>
            </w:r>
            <w:r>
              <w:rPr>
                <w:noProof/>
                <w:webHidden/>
              </w:rPr>
            </w:r>
            <w:r>
              <w:rPr>
                <w:noProof/>
                <w:webHidden/>
              </w:rPr>
              <w:fldChar w:fldCharType="separate"/>
            </w:r>
            <w:r>
              <w:rPr>
                <w:noProof/>
                <w:webHidden/>
              </w:rPr>
              <w:t>41</w:t>
            </w:r>
            <w:r>
              <w:rPr>
                <w:noProof/>
                <w:webHidden/>
              </w:rPr>
              <w:fldChar w:fldCharType="end"/>
            </w:r>
          </w:hyperlink>
        </w:p>
        <w:p w14:paraId="2478B0CE" w14:textId="77777777" w:rsidR="00DE4338" w:rsidRDefault="00DE4338">
          <w:pPr>
            <w:pStyle w:val="TOC2"/>
            <w:rPr>
              <w:rFonts w:eastAsiaTheme="minorEastAsia"/>
              <w:bCs w:val="0"/>
              <w:noProof/>
              <w:sz w:val="22"/>
              <w:lang w:eastAsia="en-GB"/>
            </w:rPr>
          </w:pPr>
          <w:hyperlink w:anchor="_Toc484174849" w:history="1">
            <w:r w:rsidRPr="00E30099">
              <w:rPr>
                <w:rStyle w:val="Hyperlink"/>
                <w:noProof/>
              </w:rPr>
              <w:t>3.8</w:t>
            </w:r>
            <w:r>
              <w:rPr>
                <w:rFonts w:eastAsiaTheme="minorEastAsia"/>
                <w:bCs w:val="0"/>
                <w:noProof/>
                <w:sz w:val="22"/>
                <w:lang w:eastAsia="en-GB"/>
              </w:rPr>
              <w:tab/>
            </w:r>
            <w:r w:rsidRPr="00E30099">
              <w:rPr>
                <w:rStyle w:val="Hyperlink"/>
                <w:noProof/>
              </w:rPr>
              <w:t>DPPs/IPOs participation in programmes/projects</w:t>
            </w:r>
            <w:r>
              <w:rPr>
                <w:noProof/>
                <w:webHidden/>
              </w:rPr>
              <w:tab/>
            </w:r>
            <w:r>
              <w:rPr>
                <w:noProof/>
                <w:webHidden/>
              </w:rPr>
              <w:fldChar w:fldCharType="begin"/>
            </w:r>
            <w:r>
              <w:rPr>
                <w:noProof/>
                <w:webHidden/>
              </w:rPr>
              <w:instrText xml:space="preserve"> PAGEREF _Toc484174849 \h </w:instrText>
            </w:r>
            <w:r>
              <w:rPr>
                <w:noProof/>
                <w:webHidden/>
              </w:rPr>
            </w:r>
            <w:r>
              <w:rPr>
                <w:noProof/>
                <w:webHidden/>
              </w:rPr>
              <w:fldChar w:fldCharType="separate"/>
            </w:r>
            <w:r>
              <w:rPr>
                <w:noProof/>
                <w:webHidden/>
              </w:rPr>
              <w:t>41</w:t>
            </w:r>
            <w:r>
              <w:rPr>
                <w:noProof/>
                <w:webHidden/>
              </w:rPr>
              <w:fldChar w:fldCharType="end"/>
            </w:r>
          </w:hyperlink>
        </w:p>
        <w:p w14:paraId="452385FC" w14:textId="77777777" w:rsidR="00DE4338" w:rsidRDefault="00DE4338">
          <w:pPr>
            <w:pStyle w:val="TOC2"/>
            <w:rPr>
              <w:rFonts w:eastAsiaTheme="minorEastAsia"/>
              <w:bCs w:val="0"/>
              <w:noProof/>
              <w:sz w:val="22"/>
              <w:lang w:eastAsia="en-GB"/>
            </w:rPr>
          </w:pPr>
          <w:hyperlink w:anchor="_Toc484174850" w:history="1">
            <w:r w:rsidRPr="00E30099">
              <w:rPr>
                <w:rStyle w:val="Hyperlink"/>
                <w:noProof/>
              </w:rPr>
              <w:t>3.9</w:t>
            </w:r>
            <w:r>
              <w:rPr>
                <w:rFonts w:eastAsiaTheme="minorEastAsia"/>
                <w:bCs w:val="0"/>
                <w:noProof/>
                <w:sz w:val="22"/>
                <w:lang w:eastAsia="en-GB"/>
              </w:rPr>
              <w:tab/>
            </w:r>
            <w:r w:rsidRPr="00E30099">
              <w:rPr>
                <w:rStyle w:val="Hyperlink"/>
                <w:noProof/>
              </w:rPr>
              <w:t>Audit Strategy (Reg. Art. 5.5.1 (d))</w:t>
            </w:r>
            <w:r>
              <w:rPr>
                <w:noProof/>
                <w:webHidden/>
              </w:rPr>
              <w:tab/>
            </w:r>
            <w:r>
              <w:rPr>
                <w:noProof/>
                <w:webHidden/>
              </w:rPr>
              <w:fldChar w:fldCharType="begin"/>
            </w:r>
            <w:r>
              <w:rPr>
                <w:noProof/>
                <w:webHidden/>
              </w:rPr>
              <w:instrText xml:space="preserve"> PAGEREF _Toc484174850 \h </w:instrText>
            </w:r>
            <w:r>
              <w:rPr>
                <w:noProof/>
                <w:webHidden/>
              </w:rPr>
            </w:r>
            <w:r>
              <w:rPr>
                <w:noProof/>
                <w:webHidden/>
              </w:rPr>
              <w:fldChar w:fldCharType="separate"/>
            </w:r>
            <w:r>
              <w:rPr>
                <w:noProof/>
                <w:webHidden/>
              </w:rPr>
              <w:t>42</w:t>
            </w:r>
            <w:r>
              <w:rPr>
                <w:noProof/>
                <w:webHidden/>
              </w:rPr>
              <w:fldChar w:fldCharType="end"/>
            </w:r>
          </w:hyperlink>
        </w:p>
        <w:p w14:paraId="7ED7EDE5" w14:textId="77777777" w:rsidR="00DE4338" w:rsidRDefault="00DE4338">
          <w:pPr>
            <w:pStyle w:val="TOC2"/>
            <w:rPr>
              <w:rFonts w:eastAsiaTheme="minorEastAsia"/>
              <w:bCs w:val="0"/>
              <w:noProof/>
              <w:sz w:val="22"/>
              <w:lang w:eastAsia="en-GB"/>
            </w:rPr>
          </w:pPr>
          <w:hyperlink w:anchor="_Toc484174851" w:history="1">
            <w:r w:rsidRPr="00E30099">
              <w:rPr>
                <w:rStyle w:val="Hyperlink"/>
                <w:noProof/>
              </w:rPr>
              <w:t>3.10</w:t>
            </w:r>
            <w:r>
              <w:rPr>
                <w:rFonts w:eastAsiaTheme="minorEastAsia"/>
                <w:bCs w:val="0"/>
                <w:noProof/>
                <w:sz w:val="22"/>
                <w:lang w:eastAsia="en-GB"/>
              </w:rPr>
              <w:tab/>
            </w:r>
            <w:r w:rsidRPr="00E30099">
              <w:rPr>
                <w:rStyle w:val="Hyperlink"/>
                <w:noProof/>
              </w:rPr>
              <w:t>Annual audit reports and audit opinion (Reg. Art. 5.5.1 (e))</w:t>
            </w:r>
            <w:r>
              <w:rPr>
                <w:noProof/>
                <w:webHidden/>
              </w:rPr>
              <w:tab/>
            </w:r>
            <w:r>
              <w:rPr>
                <w:noProof/>
                <w:webHidden/>
              </w:rPr>
              <w:fldChar w:fldCharType="begin"/>
            </w:r>
            <w:r>
              <w:rPr>
                <w:noProof/>
                <w:webHidden/>
              </w:rPr>
              <w:instrText xml:space="preserve"> PAGEREF _Toc484174851 \h </w:instrText>
            </w:r>
            <w:r>
              <w:rPr>
                <w:noProof/>
                <w:webHidden/>
              </w:rPr>
            </w:r>
            <w:r>
              <w:rPr>
                <w:noProof/>
                <w:webHidden/>
              </w:rPr>
              <w:fldChar w:fldCharType="separate"/>
            </w:r>
            <w:r>
              <w:rPr>
                <w:noProof/>
                <w:webHidden/>
              </w:rPr>
              <w:t>45</w:t>
            </w:r>
            <w:r>
              <w:rPr>
                <w:noProof/>
                <w:webHidden/>
              </w:rPr>
              <w:fldChar w:fldCharType="end"/>
            </w:r>
          </w:hyperlink>
        </w:p>
        <w:p w14:paraId="3CCE6E84" w14:textId="77777777" w:rsidR="00DE4338" w:rsidRDefault="00DE4338">
          <w:pPr>
            <w:pStyle w:val="TOC2"/>
            <w:rPr>
              <w:rFonts w:eastAsiaTheme="minorEastAsia"/>
              <w:bCs w:val="0"/>
              <w:noProof/>
              <w:sz w:val="22"/>
              <w:lang w:eastAsia="en-GB"/>
            </w:rPr>
          </w:pPr>
          <w:hyperlink w:anchor="_Toc484174852" w:history="1">
            <w:r w:rsidRPr="00E30099">
              <w:rPr>
                <w:rStyle w:val="Hyperlink"/>
                <w:noProof/>
              </w:rPr>
              <w:t>3.11</w:t>
            </w:r>
            <w:r>
              <w:rPr>
                <w:rFonts w:eastAsiaTheme="minorEastAsia"/>
                <w:bCs w:val="0"/>
                <w:noProof/>
                <w:sz w:val="22"/>
                <w:lang w:eastAsia="en-GB"/>
              </w:rPr>
              <w:tab/>
            </w:r>
            <w:r w:rsidRPr="00E30099">
              <w:rPr>
                <w:rStyle w:val="Hyperlink"/>
                <w:noProof/>
              </w:rPr>
              <w:t>Auditors' certificates (Reg. art. 8.12.4)</w:t>
            </w:r>
            <w:r>
              <w:rPr>
                <w:noProof/>
                <w:webHidden/>
              </w:rPr>
              <w:tab/>
            </w:r>
            <w:r>
              <w:rPr>
                <w:noProof/>
                <w:webHidden/>
              </w:rPr>
              <w:fldChar w:fldCharType="begin"/>
            </w:r>
            <w:r>
              <w:rPr>
                <w:noProof/>
                <w:webHidden/>
              </w:rPr>
              <w:instrText xml:space="preserve"> PAGEREF _Toc484174852 \h </w:instrText>
            </w:r>
            <w:r>
              <w:rPr>
                <w:noProof/>
                <w:webHidden/>
              </w:rPr>
            </w:r>
            <w:r>
              <w:rPr>
                <w:noProof/>
                <w:webHidden/>
              </w:rPr>
              <w:fldChar w:fldCharType="separate"/>
            </w:r>
            <w:r>
              <w:rPr>
                <w:noProof/>
                <w:webHidden/>
              </w:rPr>
              <w:t>52</w:t>
            </w:r>
            <w:r>
              <w:rPr>
                <w:noProof/>
                <w:webHidden/>
              </w:rPr>
              <w:fldChar w:fldCharType="end"/>
            </w:r>
          </w:hyperlink>
        </w:p>
        <w:p w14:paraId="56728F66" w14:textId="77777777" w:rsidR="00DE4338" w:rsidRDefault="00DE4338">
          <w:pPr>
            <w:pStyle w:val="TOC1"/>
            <w:rPr>
              <w:rFonts w:asciiTheme="minorHAnsi" w:eastAsiaTheme="minorEastAsia" w:hAnsiTheme="minorHAnsi"/>
              <w:b w:val="0"/>
              <w:bCs w:val="0"/>
              <w:caps w:val="0"/>
              <w:noProof/>
              <w:sz w:val="22"/>
              <w:u w:val="none"/>
              <w:lang w:eastAsia="en-GB"/>
            </w:rPr>
          </w:pPr>
          <w:hyperlink w:anchor="_Toc484174853" w:history="1">
            <w:r w:rsidRPr="00E30099">
              <w:rPr>
                <w:rStyle w:val="Hyperlink"/>
                <w:noProof/>
              </w:rPr>
              <w:t>4</w:t>
            </w:r>
            <w:r>
              <w:rPr>
                <w:rFonts w:asciiTheme="minorHAnsi" w:eastAsiaTheme="minorEastAsia" w:hAnsiTheme="minorHAnsi"/>
                <w:b w:val="0"/>
                <w:bCs w:val="0"/>
                <w:caps w:val="0"/>
                <w:noProof/>
                <w:sz w:val="22"/>
                <w:u w:val="none"/>
                <w:lang w:eastAsia="en-GB"/>
              </w:rPr>
              <w:tab/>
            </w:r>
            <w:r w:rsidRPr="00E30099">
              <w:rPr>
                <w:rStyle w:val="Hyperlink"/>
                <w:noProof/>
              </w:rPr>
              <w:t>Closure phase</w:t>
            </w:r>
            <w:r>
              <w:rPr>
                <w:noProof/>
                <w:webHidden/>
              </w:rPr>
              <w:tab/>
            </w:r>
            <w:r>
              <w:rPr>
                <w:noProof/>
                <w:webHidden/>
              </w:rPr>
              <w:fldChar w:fldCharType="begin"/>
            </w:r>
            <w:r>
              <w:rPr>
                <w:noProof/>
                <w:webHidden/>
              </w:rPr>
              <w:instrText xml:space="preserve"> PAGEREF _Toc484174853 \h </w:instrText>
            </w:r>
            <w:r>
              <w:rPr>
                <w:noProof/>
                <w:webHidden/>
              </w:rPr>
            </w:r>
            <w:r>
              <w:rPr>
                <w:noProof/>
                <w:webHidden/>
              </w:rPr>
              <w:fldChar w:fldCharType="separate"/>
            </w:r>
            <w:r>
              <w:rPr>
                <w:noProof/>
                <w:webHidden/>
              </w:rPr>
              <w:t>54</w:t>
            </w:r>
            <w:r>
              <w:rPr>
                <w:noProof/>
                <w:webHidden/>
              </w:rPr>
              <w:fldChar w:fldCharType="end"/>
            </w:r>
          </w:hyperlink>
        </w:p>
        <w:p w14:paraId="03F426E8" w14:textId="77777777" w:rsidR="00DE4338" w:rsidRDefault="00DE4338">
          <w:pPr>
            <w:pStyle w:val="TOC2"/>
            <w:rPr>
              <w:rFonts w:eastAsiaTheme="minorEastAsia"/>
              <w:bCs w:val="0"/>
              <w:noProof/>
              <w:sz w:val="22"/>
              <w:lang w:eastAsia="en-GB"/>
            </w:rPr>
          </w:pPr>
          <w:hyperlink w:anchor="_Toc484174854" w:history="1">
            <w:r w:rsidRPr="00E30099">
              <w:rPr>
                <w:rStyle w:val="Hyperlink"/>
                <w:noProof/>
              </w:rPr>
              <w:t>4.1</w:t>
            </w:r>
            <w:r>
              <w:rPr>
                <w:rFonts w:eastAsiaTheme="minorEastAsia"/>
                <w:bCs w:val="0"/>
                <w:noProof/>
                <w:sz w:val="22"/>
                <w:lang w:eastAsia="en-GB"/>
              </w:rPr>
              <w:tab/>
            </w:r>
            <w:r w:rsidRPr="00E30099">
              <w:rPr>
                <w:rStyle w:val="Hyperlink"/>
                <w:noProof/>
              </w:rPr>
              <w:t>Final balance (Reg. Art. 9.4)</w:t>
            </w:r>
            <w:r>
              <w:rPr>
                <w:noProof/>
                <w:webHidden/>
              </w:rPr>
              <w:tab/>
            </w:r>
            <w:r>
              <w:rPr>
                <w:noProof/>
                <w:webHidden/>
              </w:rPr>
              <w:fldChar w:fldCharType="begin"/>
            </w:r>
            <w:r>
              <w:rPr>
                <w:noProof/>
                <w:webHidden/>
              </w:rPr>
              <w:instrText xml:space="preserve"> PAGEREF _Toc484174854 \h </w:instrText>
            </w:r>
            <w:r>
              <w:rPr>
                <w:noProof/>
                <w:webHidden/>
              </w:rPr>
            </w:r>
            <w:r>
              <w:rPr>
                <w:noProof/>
                <w:webHidden/>
              </w:rPr>
              <w:fldChar w:fldCharType="separate"/>
            </w:r>
            <w:r>
              <w:rPr>
                <w:noProof/>
                <w:webHidden/>
              </w:rPr>
              <w:t>54</w:t>
            </w:r>
            <w:r>
              <w:rPr>
                <w:noProof/>
                <w:webHidden/>
              </w:rPr>
              <w:fldChar w:fldCharType="end"/>
            </w:r>
          </w:hyperlink>
        </w:p>
        <w:p w14:paraId="48854682" w14:textId="77777777" w:rsidR="00DE4338" w:rsidRDefault="00DE4338">
          <w:pPr>
            <w:pStyle w:val="TOC2"/>
            <w:rPr>
              <w:rFonts w:eastAsiaTheme="minorEastAsia"/>
              <w:bCs w:val="0"/>
              <w:noProof/>
              <w:sz w:val="22"/>
              <w:lang w:eastAsia="en-GB"/>
            </w:rPr>
          </w:pPr>
          <w:hyperlink w:anchor="_Toc484174855" w:history="1">
            <w:r w:rsidRPr="00E30099">
              <w:rPr>
                <w:rStyle w:val="Hyperlink"/>
                <w:noProof/>
              </w:rPr>
              <w:t>4.2</w:t>
            </w:r>
            <w:r>
              <w:rPr>
                <w:rFonts w:eastAsiaTheme="minorEastAsia"/>
                <w:bCs w:val="0"/>
                <w:noProof/>
                <w:sz w:val="22"/>
                <w:lang w:eastAsia="en-GB"/>
              </w:rPr>
              <w:tab/>
            </w:r>
            <w:r w:rsidRPr="00E30099">
              <w:rPr>
                <w:rStyle w:val="Hyperlink"/>
                <w:noProof/>
              </w:rPr>
              <w:t>Closure declaration (Reg. Art 5.5.1 (f))</w:t>
            </w:r>
            <w:r>
              <w:rPr>
                <w:noProof/>
                <w:webHidden/>
              </w:rPr>
              <w:tab/>
            </w:r>
            <w:r>
              <w:rPr>
                <w:noProof/>
                <w:webHidden/>
              </w:rPr>
              <w:fldChar w:fldCharType="begin"/>
            </w:r>
            <w:r>
              <w:rPr>
                <w:noProof/>
                <w:webHidden/>
              </w:rPr>
              <w:instrText xml:space="preserve"> PAGEREF _Toc484174855 \h </w:instrText>
            </w:r>
            <w:r>
              <w:rPr>
                <w:noProof/>
                <w:webHidden/>
              </w:rPr>
            </w:r>
            <w:r>
              <w:rPr>
                <w:noProof/>
                <w:webHidden/>
              </w:rPr>
              <w:fldChar w:fldCharType="separate"/>
            </w:r>
            <w:r>
              <w:rPr>
                <w:noProof/>
                <w:webHidden/>
              </w:rPr>
              <w:t>55</w:t>
            </w:r>
            <w:r>
              <w:rPr>
                <w:noProof/>
                <w:webHidden/>
              </w:rPr>
              <w:fldChar w:fldCharType="end"/>
            </w:r>
          </w:hyperlink>
        </w:p>
        <w:p w14:paraId="3BEEB3DB" w14:textId="77777777" w:rsidR="00DE4338" w:rsidRDefault="00DE4338">
          <w:pPr>
            <w:pStyle w:val="TOC1"/>
            <w:rPr>
              <w:rFonts w:asciiTheme="minorHAnsi" w:eastAsiaTheme="minorEastAsia" w:hAnsiTheme="minorHAnsi"/>
              <w:b w:val="0"/>
              <w:bCs w:val="0"/>
              <w:caps w:val="0"/>
              <w:noProof/>
              <w:sz w:val="22"/>
              <w:u w:val="none"/>
              <w:lang w:eastAsia="en-GB"/>
            </w:rPr>
          </w:pPr>
          <w:hyperlink w:anchor="_Toc484174856" w:history="1">
            <w:r w:rsidRPr="00E30099">
              <w:rPr>
                <w:rStyle w:val="Hyperlink"/>
                <w:noProof/>
              </w:rPr>
              <w:t>5</w:t>
            </w:r>
            <w:r>
              <w:rPr>
                <w:rFonts w:asciiTheme="minorHAnsi" w:eastAsiaTheme="minorEastAsia" w:hAnsiTheme="minorHAnsi"/>
                <w:b w:val="0"/>
                <w:bCs w:val="0"/>
                <w:caps w:val="0"/>
                <w:noProof/>
                <w:sz w:val="22"/>
                <w:u w:val="none"/>
                <w:lang w:eastAsia="en-GB"/>
              </w:rPr>
              <w:tab/>
            </w:r>
            <w:r w:rsidRPr="00E30099">
              <w:rPr>
                <w:rStyle w:val="Hyperlink"/>
                <w:noProof/>
              </w:rPr>
              <w:t>Annexes</w:t>
            </w:r>
            <w:r>
              <w:rPr>
                <w:noProof/>
                <w:webHidden/>
              </w:rPr>
              <w:tab/>
            </w:r>
            <w:r>
              <w:rPr>
                <w:noProof/>
                <w:webHidden/>
              </w:rPr>
              <w:fldChar w:fldCharType="begin"/>
            </w:r>
            <w:r>
              <w:rPr>
                <w:noProof/>
                <w:webHidden/>
              </w:rPr>
              <w:instrText xml:space="preserve"> PAGEREF _Toc484174856 \h </w:instrText>
            </w:r>
            <w:r>
              <w:rPr>
                <w:noProof/>
                <w:webHidden/>
              </w:rPr>
            </w:r>
            <w:r>
              <w:rPr>
                <w:noProof/>
                <w:webHidden/>
              </w:rPr>
              <w:fldChar w:fldCharType="separate"/>
            </w:r>
            <w:r>
              <w:rPr>
                <w:noProof/>
                <w:webHidden/>
              </w:rPr>
              <w:t>56</w:t>
            </w:r>
            <w:r>
              <w:rPr>
                <w:noProof/>
                <w:webHidden/>
              </w:rPr>
              <w:fldChar w:fldCharType="end"/>
            </w:r>
          </w:hyperlink>
        </w:p>
        <w:p w14:paraId="4F76AF1A" w14:textId="77777777" w:rsidR="00DE4338" w:rsidRDefault="00DE4338">
          <w:pPr>
            <w:pStyle w:val="TOC2"/>
            <w:rPr>
              <w:rFonts w:eastAsiaTheme="minorEastAsia"/>
              <w:bCs w:val="0"/>
              <w:noProof/>
              <w:sz w:val="22"/>
              <w:lang w:eastAsia="en-GB"/>
            </w:rPr>
          </w:pPr>
          <w:hyperlink w:anchor="_Toc484174857" w:history="1">
            <w:r w:rsidRPr="00E30099">
              <w:rPr>
                <w:rStyle w:val="Hyperlink"/>
                <w:noProof/>
              </w:rPr>
              <w:t>5.1</w:t>
            </w:r>
            <w:r>
              <w:rPr>
                <w:rFonts w:eastAsiaTheme="minorEastAsia"/>
                <w:bCs w:val="0"/>
                <w:noProof/>
                <w:sz w:val="22"/>
                <w:lang w:eastAsia="en-GB"/>
              </w:rPr>
              <w:tab/>
            </w:r>
            <w:r w:rsidRPr="00E30099">
              <w:rPr>
                <w:rStyle w:val="Hyperlink"/>
                <w:noProof/>
              </w:rPr>
              <w:t>5.1 Template for the PDP cost (budget)</w:t>
            </w:r>
            <w:r>
              <w:rPr>
                <w:noProof/>
                <w:webHidden/>
              </w:rPr>
              <w:tab/>
            </w:r>
            <w:r>
              <w:rPr>
                <w:noProof/>
                <w:webHidden/>
              </w:rPr>
              <w:fldChar w:fldCharType="begin"/>
            </w:r>
            <w:r>
              <w:rPr>
                <w:noProof/>
                <w:webHidden/>
              </w:rPr>
              <w:instrText xml:space="preserve"> PAGEREF _Toc484174857 \h </w:instrText>
            </w:r>
            <w:r>
              <w:rPr>
                <w:noProof/>
                <w:webHidden/>
              </w:rPr>
            </w:r>
            <w:r>
              <w:rPr>
                <w:noProof/>
                <w:webHidden/>
              </w:rPr>
              <w:fldChar w:fldCharType="separate"/>
            </w:r>
            <w:r>
              <w:rPr>
                <w:noProof/>
                <w:webHidden/>
              </w:rPr>
              <w:t>56</w:t>
            </w:r>
            <w:r>
              <w:rPr>
                <w:noProof/>
                <w:webHidden/>
              </w:rPr>
              <w:fldChar w:fldCharType="end"/>
            </w:r>
          </w:hyperlink>
        </w:p>
        <w:p w14:paraId="17284A6B" w14:textId="77777777" w:rsidR="00DE4338" w:rsidRDefault="00DE4338">
          <w:pPr>
            <w:pStyle w:val="TOC2"/>
            <w:rPr>
              <w:rFonts w:eastAsiaTheme="minorEastAsia"/>
              <w:bCs w:val="0"/>
              <w:noProof/>
              <w:sz w:val="22"/>
              <w:lang w:eastAsia="en-GB"/>
            </w:rPr>
          </w:pPr>
          <w:hyperlink w:anchor="_Toc484174858" w:history="1">
            <w:r w:rsidRPr="00E30099">
              <w:rPr>
                <w:rStyle w:val="Hyperlink"/>
                <w:noProof/>
              </w:rPr>
              <w:t>5.2</w:t>
            </w:r>
            <w:r>
              <w:rPr>
                <w:rFonts w:eastAsiaTheme="minorEastAsia"/>
                <w:bCs w:val="0"/>
                <w:noProof/>
                <w:sz w:val="22"/>
                <w:lang w:eastAsia="en-GB"/>
              </w:rPr>
              <w:tab/>
            </w:r>
            <w:r w:rsidRPr="00E30099">
              <w:rPr>
                <w:rStyle w:val="Hyperlink"/>
                <w:noProof/>
              </w:rPr>
              <w:t>5.2 Overview of deadlines for eligibility of expenditure</w:t>
            </w:r>
            <w:r>
              <w:rPr>
                <w:noProof/>
                <w:webHidden/>
              </w:rPr>
              <w:tab/>
            </w:r>
            <w:r>
              <w:rPr>
                <w:noProof/>
                <w:webHidden/>
              </w:rPr>
              <w:fldChar w:fldCharType="begin"/>
            </w:r>
            <w:r>
              <w:rPr>
                <w:noProof/>
                <w:webHidden/>
              </w:rPr>
              <w:instrText xml:space="preserve"> PAGEREF _Toc484174858 \h </w:instrText>
            </w:r>
            <w:r>
              <w:rPr>
                <w:noProof/>
                <w:webHidden/>
              </w:rPr>
            </w:r>
            <w:r>
              <w:rPr>
                <w:noProof/>
                <w:webHidden/>
              </w:rPr>
              <w:fldChar w:fldCharType="separate"/>
            </w:r>
            <w:r>
              <w:rPr>
                <w:noProof/>
                <w:webHidden/>
              </w:rPr>
              <w:t>57</w:t>
            </w:r>
            <w:r>
              <w:rPr>
                <w:noProof/>
                <w:webHidden/>
              </w:rPr>
              <w:fldChar w:fldCharType="end"/>
            </w:r>
          </w:hyperlink>
        </w:p>
        <w:p w14:paraId="7FBBB9C4" w14:textId="77777777" w:rsidR="00DE4338" w:rsidRDefault="00DE4338">
          <w:pPr>
            <w:pStyle w:val="TOC2"/>
            <w:rPr>
              <w:rFonts w:eastAsiaTheme="minorEastAsia"/>
              <w:bCs w:val="0"/>
              <w:noProof/>
              <w:sz w:val="22"/>
              <w:lang w:eastAsia="en-GB"/>
            </w:rPr>
          </w:pPr>
          <w:hyperlink w:anchor="_Toc484174859" w:history="1">
            <w:r w:rsidRPr="00E30099">
              <w:rPr>
                <w:rStyle w:val="Hyperlink"/>
                <w:noProof/>
              </w:rPr>
              <w:t>5.3</w:t>
            </w:r>
            <w:r>
              <w:rPr>
                <w:rFonts w:eastAsiaTheme="minorEastAsia"/>
                <w:bCs w:val="0"/>
                <w:noProof/>
                <w:sz w:val="22"/>
                <w:lang w:eastAsia="en-GB"/>
              </w:rPr>
              <w:tab/>
            </w:r>
            <w:r w:rsidRPr="00E30099">
              <w:rPr>
                <w:rStyle w:val="Hyperlink"/>
                <w:noProof/>
              </w:rPr>
              <w:t>5.3 Overview of deadlines for submission of documents</w:t>
            </w:r>
            <w:r>
              <w:rPr>
                <w:noProof/>
                <w:webHidden/>
              </w:rPr>
              <w:tab/>
            </w:r>
            <w:r>
              <w:rPr>
                <w:noProof/>
                <w:webHidden/>
              </w:rPr>
              <w:fldChar w:fldCharType="begin"/>
            </w:r>
            <w:r>
              <w:rPr>
                <w:noProof/>
                <w:webHidden/>
              </w:rPr>
              <w:instrText xml:space="preserve"> PAGEREF _Toc484174859 \h </w:instrText>
            </w:r>
            <w:r>
              <w:rPr>
                <w:noProof/>
                <w:webHidden/>
              </w:rPr>
            </w:r>
            <w:r>
              <w:rPr>
                <w:noProof/>
                <w:webHidden/>
              </w:rPr>
              <w:fldChar w:fldCharType="separate"/>
            </w:r>
            <w:r>
              <w:rPr>
                <w:noProof/>
                <w:webHidden/>
              </w:rPr>
              <w:t>58</w:t>
            </w:r>
            <w:r>
              <w:rPr>
                <w:noProof/>
                <w:webHidden/>
              </w:rPr>
              <w:fldChar w:fldCharType="end"/>
            </w:r>
          </w:hyperlink>
        </w:p>
        <w:p w14:paraId="5FD29EAB" w14:textId="77777777" w:rsidR="00DE4338" w:rsidRDefault="00DE4338">
          <w:pPr>
            <w:pStyle w:val="TOC2"/>
            <w:rPr>
              <w:rFonts w:eastAsiaTheme="minorEastAsia"/>
              <w:bCs w:val="0"/>
              <w:noProof/>
              <w:sz w:val="22"/>
              <w:lang w:eastAsia="en-GB"/>
            </w:rPr>
          </w:pPr>
          <w:hyperlink w:anchor="_Toc484174860" w:history="1">
            <w:r w:rsidRPr="00E30099">
              <w:rPr>
                <w:rStyle w:val="Hyperlink"/>
                <w:noProof/>
              </w:rPr>
              <w:t>5.4 Financial reporting flowchart and periods</w:t>
            </w:r>
            <w:r>
              <w:rPr>
                <w:noProof/>
                <w:webHidden/>
              </w:rPr>
              <w:tab/>
            </w:r>
            <w:r>
              <w:rPr>
                <w:noProof/>
                <w:webHidden/>
              </w:rPr>
              <w:fldChar w:fldCharType="begin"/>
            </w:r>
            <w:r>
              <w:rPr>
                <w:noProof/>
                <w:webHidden/>
              </w:rPr>
              <w:instrText xml:space="preserve"> PAGEREF _Toc484174860 \h </w:instrText>
            </w:r>
            <w:r>
              <w:rPr>
                <w:noProof/>
                <w:webHidden/>
              </w:rPr>
            </w:r>
            <w:r>
              <w:rPr>
                <w:noProof/>
                <w:webHidden/>
              </w:rPr>
              <w:fldChar w:fldCharType="separate"/>
            </w:r>
            <w:r>
              <w:rPr>
                <w:noProof/>
                <w:webHidden/>
              </w:rPr>
              <w:t>59</w:t>
            </w:r>
            <w:r>
              <w:rPr>
                <w:noProof/>
                <w:webHidden/>
              </w:rPr>
              <w:fldChar w:fldCharType="end"/>
            </w:r>
          </w:hyperlink>
        </w:p>
        <w:p w14:paraId="2E1DF9BD" w14:textId="77777777" w:rsidR="00DE4338" w:rsidRDefault="00DE4338">
          <w:pPr>
            <w:pStyle w:val="TOC2"/>
            <w:rPr>
              <w:rFonts w:eastAsiaTheme="minorEastAsia"/>
              <w:bCs w:val="0"/>
              <w:noProof/>
              <w:sz w:val="22"/>
              <w:lang w:eastAsia="en-GB"/>
            </w:rPr>
          </w:pPr>
          <w:hyperlink w:anchor="_Toc484174861" w:history="1">
            <w:r w:rsidRPr="00E30099">
              <w:rPr>
                <w:rStyle w:val="Hyperlink"/>
                <w:noProof/>
              </w:rPr>
              <w:t>5.4</w:t>
            </w:r>
            <w:r>
              <w:rPr>
                <w:rFonts w:eastAsiaTheme="minorEastAsia"/>
                <w:bCs w:val="0"/>
                <w:noProof/>
                <w:sz w:val="22"/>
                <w:lang w:eastAsia="en-GB"/>
              </w:rPr>
              <w:tab/>
            </w:r>
            <w:r w:rsidRPr="00E30099">
              <w:rPr>
                <w:rStyle w:val="Hyperlink"/>
                <w:noProof/>
              </w:rPr>
              <w:t>Exchange rate losses</w:t>
            </w:r>
            <w:r>
              <w:rPr>
                <w:noProof/>
                <w:webHidden/>
              </w:rPr>
              <w:tab/>
            </w:r>
            <w:r>
              <w:rPr>
                <w:noProof/>
                <w:webHidden/>
              </w:rPr>
              <w:fldChar w:fldCharType="begin"/>
            </w:r>
            <w:r>
              <w:rPr>
                <w:noProof/>
                <w:webHidden/>
              </w:rPr>
              <w:instrText xml:space="preserve"> PAGEREF _Toc484174861 \h </w:instrText>
            </w:r>
            <w:r>
              <w:rPr>
                <w:noProof/>
                <w:webHidden/>
              </w:rPr>
            </w:r>
            <w:r>
              <w:rPr>
                <w:noProof/>
                <w:webHidden/>
              </w:rPr>
              <w:fldChar w:fldCharType="separate"/>
            </w:r>
            <w:r>
              <w:rPr>
                <w:noProof/>
                <w:webHidden/>
              </w:rPr>
              <w:t>60</w:t>
            </w:r>
            <w:r>
              <w:rPr>
                <w:noProof/>
                <w:webHidden/>
              </w:rPr>
              <w:fldChar w:fldCharType="end"/>
            </w:r>
          </w:hyperlink>
        </w:p>
        <w:p w14:paraId="4F02858D" w14:textId="77777777" w:rsidR="00DE4338" w:rsidRDefault="00DE4338">
          <w:pPr>
            <w:pStyle w:val="TOC2"/>
            <w:rPr>
              <w:rFonts w:eastAsiaTheme="minorEastAsia"/>
              <w:bCs w:val="0"/>
              <w:noProof/>
              <w:sz w:val="22"/>
              <w:lang w:eastAsia="en-GB"/>
            </w:rPr>
          </w:pPr>
          <w:hyperlink w:anchor="_Toc484174862" w:history="1">
            <w:r w:rsidRPr="00E30099">
              <w:rPr>
                <w:rStyle w:val="Hyperlink"/>
                <w:noProof/>
              </w:rPr>
              <w:t>5.5</w:t>
            </w:r>
            <w:r>
              <w:rPr>
                <w:rFonts w:eastAsiaTheme="minorEastAsia"/>
                <w:bCs w:val="0"/>
                <w:noProof/>
                <w:sz w:val="22"/>
                <w:lang w:eastAsia="en-GB"/>
              </w:rPr>
              <w:tab/>
            </w:r>
            <w:r w:rsidRPr="00E30099">
              <w:rPr>
                <w:rStyle w:val="Hyperlink"/>
                <w:noProof/>
              </w:rPr>
              <w:t>Template for the certification of costs claimed by donor partner</w:t>
            </w:r>
            <w:r>
              <w:rPr>
                <w:noProof/>
                <w:webHidden/>
              </w:rPr>
              <w:tab/>
            </w:r>
            <w:r>
              <w:rPr>
                <w:noProof/>
                <w:webHidden/>
              </w:rPr>
              <w:fldChar w:fldCharType="begin"/>
            </w:r>
            <w:r>
              <w:rPr>
                <w:noProof/>
                <w:webHidden/>
              </w:rPr>
              <w:instrText xml:space="preserve"> PAGEREF _Toc484174862 \h </w:instrText>
            </w:r>
            <w:r>
              <w:rPr>
                <w:noProof/>
                <w:webHidden/>
              </w:rPr>
            </w:r>
            <w:r>
              <w:rPr>
                <w:noProof/>
                <w:webHidden/>
              </w:rPr>
              <w:fldChar w:fldCharType="separate"/>
            </w:r>
            <w:r>
              <w:rPr>
                <w:noProof/>
                <w:webHidden/>
              </w:rPr>
              <w:t>62</w:t>
            </w:r>
            <w:r>
              <w:rPr>
                <w:noProof/>
                <w:webHidden/>
              </w:rPr>
              <w:fldChar w:fldCharType="end"/>
            </w:r>
          </w:hyperlink>
        </w:p>
        <w:p w14:paraId="1977A18F" w14:textId="77777777" w:rsidR="006538A2" w:rsidRPr="009B7F14" w:rsidRDefault="00495BA7" w:rsidP="00376576">
          <w:r w:rsidRPr="009B7F14">
            <w:rPr>
              <w:sz w:val="16"/>
              <w:u w:val="single"/>
            </w:rPr>
            <w:fldChar w:fldCharType="end"/>
          </w:r>
        </w:p>
      </w:sdtContent>
    </w:sdt>
    <w:p w14:paraId="1D7DA4CC" w14:textId="77777777" w:rsidR="00A00789" w:rsidRPr="009B7F14" w:rsidRDefault="00A00789">
      <w:pPr>
        <w:rPr>
          <w:caps/>
          <w:color w:val="FFFFFF" w:themeColor="background1"/>
          <w:spacing w:val="15"/>
        </w:rPr>
      </w:pPr>
    </w:p>
    <w:p w14:paraId="7827E246" w14:textId="52727EC0" w:rsidR="00EB12AE" w:rsidRPr="009B7F14" w:rsidRDefault="001B2932" w:rsidP="003A3C93">
      <w:pPr>
        <w:pStyle w:val="TableofFigures"/>
        <w:shd w:val="clear" w:color="auto" w:fill="FFFFFF" w:themeFill="background1"/>
        <w:tabs>
          <w:tab w:val="right" w:leader="dot" w:pos="9016"/>
        </w:tabs>
        <w:rPr>
          <w:rStyle w:val="Hyperlink"/>
          <w:b/>
          <w:bCs/>
          <w:caps/>
          <w:noProof/>
          <w:color w:val="000000" w:themeColor="text1"/>
        </w:rPr>
      </w:pPr>
      <w:r>
        <w:rPr>
          <w:rStyle w:val="Hyperlink"/>
          <w:b/>
          <w:bCs/>
          <w:caps/>
          <w:noProof/>
          <w:color w:val="000000" w:themeColor="text1"/>
        </w:rPr>
        <w:lastRenderedPageBreak/>
        <w:t>TABLEs</w:t>
      </w:r>
    </w:p>
    <w:p w14:paraId="2D20922A" w14:textId="77777777" w:rsidR="003A3C93" w:rsidRPr="009B7F14" w:rsidRDefault="003A3C93" w:rsidP="003A3C93"/>
    <w:p w14:paraId="3757F229" w14:textId="77777777" w:rsidR="00DE4338" w:rsidRDefault="001D1A96">
      <w:pPr>
        <w:pStyle w:val="TableofFigures"/>
        <w:tabs>
          <w:tab w:val="right" w:leader="dot" w:pos="9017"/>
        </w:tabs>
        <w:rPr>
          <w:rFonts w:asciiTheme="minorHAnsi" w:eastAsiaTheme="minorEastAsia" w:hAnsiTheme="minorHAnsi"/>
          <w:noProof/>
          <w:sz w:val="22"/>
          <w:lang w:eastAsia="en-GB"/>
        </w:rPr>
      </w:pPr>
      <w:r>
        <w:fldChar w:fldCharType="begin"/>
      </w:r>
      <w:r>
        <w:instrText xml:space="preserve"> TOC \h \z \c "Table" </w:instrText>
      </w:r>
      <w:r>
        <w:fldChar w:fldCharType="separate"/>
      </w:r>
      <w:hyperlink w:anchor="_Toc484174863" w:history="1">
        <w:r w:rsidR="00DE4338" w:rsidRPr="00B57819">
          <w:rPr>
            <w:rStyle w:val="Hyperlink"/>
            <w:noProof/>
          </w:rPr>
          <w:t>Table 1: Budget</w:t>
        </w:r>
        <w:r w:rsidR="00DE4338">
          <w:rPr>
            <w:noProof/>
            <w:webHidden/>
          </w:rPr>
          <w:tab/>
        </w:r>
        <w:r w:rsidR="00DE4338">
          <w:rPr>
            <w:noProof/>
            <w:webHidden/>
          </w:rPr>
          <w:fldChar w:fldCharType="begin"/>
        </w:r>
        <w:r w:rsidR="00DE4338">
          <w:rPr>
            <w:noProof/>
            <w:webHidden/>
          </w:rPr>
          <w:instrText xml:space="preserve"> PAGEREF _Toc484174863 \h </w:instrText>
        </w:r>
        <w:r w:rsidR="00DE4338">
          <w:rPr>
            <w:noProof/>
            <w:webHidden/>
          </w:rPr>
        </w:r>
        <w:r w:rsidR="00DE4338">
          <w:rPr>
            <w:noProof/>
            <w:webHidden/>
          </w:rPr>
          <w:fldChar w:fldCharType="separate"/>
        </w:r>
        <w:r w:rsidR="00DE4338">
          <w:rPr>
            <w:noProof/>
            <w:webHidden/>
          </w:rPr>
          <w:t>6</w:t>
        </w:r>
        <w:r w:rsidR="00DE4338">
          <w:rPr>
            <w:noProof/>
            <w:webHidden/>
          </w:rPr>
          <w:fldChar w:fldCharType="end"/>
        </w:r>
      </w:hyperlink>
    </w:p>
    <w:p w14:paraId="43F1CD4F" w14:textId="77777777" w:rsidR="00DE4338" w:rsidRDefault="00DE4338">
      <w:pPr>
        <w:pStyle w:val="TableofFigures"/>
        <w:tabs>
          <w:tab w:val="right" w:leader="dot" w:pos="9017"/>
        </w:tabs>
        <w:rPr>
          <w:rFonts w:asciiTheme="minorHAnsi" w:eastAsiaTheme="minorEastAsia" w:hAnsiTheme="minorHAnsi"/>
          <w:noProof/>
          <w:sz w:val="22"/>
          <w:lang w:eastAsia="en-GB"/>
        </w:rPr>
      </w:pPr>
      <w:hyperlink w:anchor="_Toc484174864" w:history="1">
        <w:r w:rsidRPr="00B57819">
          <w:rPr>
            <w:rStyle w:val="Hyperlink"/>
            <w:noProof/>
          </w:rPr>
          <w:t>Table 2: Breakdown of the management costs</w:t>
        </w:r>
        <w:r>
          <w:rPr>
            <w:noProof/>
            <w:webHidden/>
          </w:rPr>
          <w:tab/>
        </w:r>
        <w:r>
          <w:rPr>
            <w:noProof/>
            <w:webHidden/>
          </w:rPr>
          <w:fldChar w:fldCharType="begin"/>
        </w:r>
        <w:r>
          <w:rPr>
            <w:noProof/>
            <w:webHidden/>
          </w:rPr>
          <w:instrText xml:space="preserve"> PAGEREF _Toc484174864 \h </w:instrText>
        </w:r>
        <w:r>
          <w:rPr>
            <w:noProof/>
            <w:webHidden/>
          </w:rPr>
        </w:r>
        <w:r>
          <w:rPr>
            <w:noProof/>
            <w:webHidden/>
          </w:rPr>
          <w:fldChar w:fldCharType="separate"/>
        </w:r>
        <w:r>
          <w:rPr>
            <w:noProof/>
            <w:webHidden/>
          </w:rPr>
          <w:t>7</w:t>
        </w:r>
        <w:r>
          <w:rPr>
            <w:noProof/>
            <w:webHidden/>
          </w:rPr>
          <w:fldChar w:fldCharType="end"/>
        </w:r>
      </w:hyperlink>
    </w:p>
    <w:p w14:paraId="2E5E354E" w14:textId="77777777" w:rsidR="00DE4338" w:rsidRDefault="00DE4338">
      <w:pPr>
        <w:pStyle w:val="TableofFigures"/>
        <w:tabs>
          <w:tab w:val="right" w:leader="dot" w:pos="9017"/>
        </w:tabs>
        <w:rPr>
          <w:rFonts w:asciiTheme="minorHAnsi" w:eastAsiaTheme="minorEastAsia" w:hAnsiTheme="minorHAnsi"/>
          <w:noProof/>
          <w:sz w:val="22"/>
          <w:lang w:eastAsia="en-GB"/>
        </w:rPr>
      </w:pPr>
      <w:hyperlink w:anchor="_Toc484174865" w:history="1">
        <w:r w:rsidRPr="00B57819">
          <w:rPr>
            <w:rStyle w:val="Hyperlink"/>
            <w:noProof/>
          </w:rPr>
          <w:t>Table 3: Programme management cost budget example</w:t>
        </w:r>
        <w:r>
          <w:rPr>
            <w:noProof/>
            <w:webHidden/>
          </w:rPr>
          <w:tab/>
        </w:r>
        <w:r>
          <w:rPr>
            <w:noProof/>
            <w:webHidden/>
          </w:rPr>
          <w:fldChar w:fldCharType="begin"/>
        </w:r>
        <w:r>
          <w:rPr>
            <w:noProof/>
            <w:webHidden/>
          </w:rPr>
          <w:instrText xml:space="preserve"> PAGEREF _Toc484174865 \h </w:instrText>
        </w:r>
        <w:r>
          <w:rPr>
            <w:noProof/>
            <w:webHidden/>
          </w:rPr>
        </w:r>
        <w:r>
          <w:rPr>
            <w:noProof/>
            <w:webHidden/>
          </w:rPr>
          <w:fldChar w:fldCharType="separate"/>
        </w:r>
        <w:r>
          <w:rPr>
            <w:noProof/>
            <w:webHidden/>
          </w:rPr>
          <w:t>7</w:t>
        </w:r>
        <w:r>
          <w:rPr>
            <w:noProof/>
            <w:webHidden/>
          </w:rPr>
          <w:fldChar w:fldCharType="end"/>
        </w:r>
      </w:hyperlink>
    </w:p>
    <w:p w14:paraId="6F2FB07F" w14:textId="77777777" w:rsidR="00DE4338" w:rsidRDefault="00DE4338">
      <w:pPr>
        <w:pStyle w:val="TableofFigures"/>
        <w:tabs>
          <w:tab w:val="right" w:leader="dot" w:pos="9017"/>
        </w:tabs>
        <w:rPr>
          <w:rFonts w:asciiTheme="minorHAnsi" w:eastAsiaTheme="minorEastAsia" w:hAnsiTheme="minorHAnsi"/>
          <w:noProof/>
          <w:sz w:val="22"/>
          <w:lang w:eastAsia="en-GB"/>
        </w:rPr>
      </w:pPr>
      <w:hyperlink w:anchor="_Toc484174866" w:history="1">
        <w:r w:rsidRPr="00B57819">
          <w:rPr>
            <w:rStyle w:val="Hyperlink"/>
            <w:noProof/>
          </w:rPr>
          <w:t>Table 4: Budget structure</w:t>
        </w:r>
        <w:r>
          <w:rPr>
            <w:noProof/>
            <w:webHidden/>
          </w:rPr>
          <w:tab/>
        </w:r>
        <w:r>
          <w:rPr>
            <w:noProof/>
            <w:webHidden/>
          </w:rPr>
          <w:fldChar w:fldCharType="begin"/>
        </w:r>
        <w:r>
          <w:rPr>
            <w:noProof/>
            <w:webHidden/>
          </w:rPr>
          <w:instrText xml:space="preserve"> PAGEREF _Toc484174866 \h </w:instrText>
        </w:r>
        <w:r>
          <w:rPr>
            <w:noProof/>
            <w:webHidden/>
          </w:rPr>
        </w:r>
        <w:r>
          <w:rPr>
            <w:noProof/>
            <w:webHidden/>
          </w:rPr>
          <w:fldChar w:fldCharType="separate"/>
        </w:r>
        <w:r>
          <w:rPr>
            <w:noProof/>
            <w:webHidden/>
          </w:rPr>
          <w:t>16</w:t>
        </w:r>
        <w:r>
          <w:rPr>
            <w:noProof/>
            <w:webHidden/>
          </w:rPr>
          <w:fldChar w:fldCharType="end"/>
        </w:r>
      </w:hyperlink>
    </w:p>
    <w:p w14:paraId="1392FD10" w14:textId="77777777" w:rsidR="00DE4338" w:rsidRDefault="00DE4338">
      <w:pPr>
        <w:pStyle w:val="TableofFigures"/>
        <w:tabs>
          <w:tab w:val="right" w:leader="dot" w:pos="9017"/>
        </w:tabs>
        <w:rPr>
          <w:rFonts w:asciiTheme="minorHAnsi" w:eastAsiaTheme="minorEastAsia" w:hAnsiTheme="minorHAnsi"/>
          <w:noProof/>
          <w:sz w:val="22"/>
          <w:lang w:eastAsia="en-GB"/>
        </w:rPr>
      </w:pPr>
      <w:hyperlink r:id="rId9" w:anchor="_Toc484174867" w:history="1">
        <w:r w:rsidRPr="00B57819">
          <w:rPr>
            <w:rStyle w:val="Hyperlink"/>
            <w:noProof/>
          </w:rPr>
          <w:t>Table 5: Management cost allocation</w:t>
        </w:r>
        <w:r>
          <w:rPr>
            <w:noProof/>
            <w:webHidden/>
          </w:rPr>
          <w:tab/>
        </w:r>
        <w:r>
          <w:rPr>
            <w:noProof/>
            <w:webHidden/>
          </w:rPr>
          <w:fldChar w:fldCharType="begin"/>
        </w:r>
        <w:r>
          <w:rPr>
            <w:noProof/>
            <w:webHidden/>
          </w:rPr>
          <w:instrText xml:space="preserve"> PAGEREF _Toc484174867 \h </w:instrText>
        </w:r>
        <w:r>
          <w:rPr>
            <w:noProof/>
            <w:webHidden/>
          </w:rPr>
        </w:r>
        <w:r>
          <w:rPr>
            <w:noProof/>
            <w:webHidden/>
          </w:rPr>
          <w:fldChar w:fldCharType="separate"/>
        </w:r>
        <w:r>
          <w:rPr>
            <w:noProof/>
            <w:webHidden/>
          </w:rPr>
          <w:t>29</w:t>
        </w:r>
        <w:r>
          <w:rPr>
            <w:noProof/>
            <w:webHidden/>
          </w:rPr>
          <w:fldChar w:fldCharType="end"/>
        </w:r>
      </w:hyperlink>
    </w:p>
    <w:p w14:paraId="09030B49" w14:textId="77777777" w:rsidR="00DE4338" w:rsidRDefault="00DE4338">
      <w:pPr>
        <w:pStyle w:val="TableofFigures"/>
        <w:tabs>
          <w:tab w:val="right" w:leader="dot" w:pos="9017"/>
        </w:tabs>
        <w:rPr>
          <w:rFonts w:asciiTheme="minorHAnsi" w:eastAsiaTheme="minorEastAsia" w:hAnsiTheme="minorHAnsi"/>
          <w:noProof/>
          <w:sz w:val="22"/>
          <w:lang w:eastAsia="en-GB"/>
        </w:rPr>
      </w:pPr>
      <w:hyperlink r:id="rId10" w:anchor="_Toc484174868" w:history="1">
        <w:r w:rsidRPr="00B57819">
          <w:rPr>
            <w:rStyle w:val="Hyperlink"/>
            <w:noProof/>
          </w:rPr>
          <w:t>Table 6: Cash Balance Calculation</w:t>
        </w:r>
        <w:r>
          <w:rPr>
            <w:noProof/>
            <w:webHidden/>
          </w:rPr>
          <w:tab/>
        </w:r>
        <w:r>
          <w:rPr>
            <w:noProof/>
            <w:webHidden/>
          </w:rPr>
          <w:fldChar w:fldCharType="begin"/>
        </w:r>
        <w:r>
          <w:rPr>
            <w:noProof/>
            <w:webHidden/>
          </w:rPr>
          <w:instrText xml:space="preserve"> PAGEREF _Toc484174868 \h </w:instrText>
        </w:r>
        <w:r>
          <w:rPr>
            <w:noProof/>
            <w:webHidden/>
          </w:rPr>
        </w:r>
        <w:r>
          <w:rPr>
            <w:noProof/>
            <w:webHidden/>
          </w:rPr>
          <w:fldChar w:fldCharType="separate"/>
        </w:r>
        <w:r>
          <w:rPr>
            <w:noProof/>
            <w:webHidden/>
          </w:rPr>
          <w:t>31</w:t>
        </w:r>
        <w:r>
          <w:rPr>
            <w:noProof/>
            <w:webHidden/>
          </w:rPr>
          <w:fldChar w:fldCharType="end"/>
        </w:r>
      </w:hyperlink>
    </w:p>
    <w:p w14:paraId="6E18CC9D" w14:textId="791790C7" w:rsidR="00ED13FE" w:rsidRDefault="001D1A96" w:rsidP="00FA735E">
      <w:r>
        <w:fldChar w:fldCharType="end"/>
      </w:r>
    </w:p>
    <w:p w14:paraId="486EA3E9" w14:textId="77777777" w:rsidR="00ED13FE" w:rsidRDefault="00ED13FE">
      <w:pPr>
        <w:spacing w:before="0" w:after="160"/>
        <w:jc w:val="left"/>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00"/>
        <w:gridCol w:w="7827"/>
      </w:tblGrid>
      <w:tr w:rsidR="00ED13FE" w:rsidRPr="00ED13FE" w14:paraId="3F3379C9" w14:textId="77777777" w:rsidTr="00ED13FE">
        <w:trPr>
          <w:trHeight w:hRule="exact" w:val="397"/>
        </w:trPr>
        <w:tc>
          <w:tcPr>
            <w:tcW w:w="9016" w:type="dxa"/>
            <w:gridSpan w:val="2"/>
            <w:noWrap/>
            <w:hideMark/>
          </w:tcPr>
          <w:p w14:paraId="57930BAB" w14:textId="77777777" w:rsidR="00ED13FE" w:rsidRPr="00ED13FE" w:rsidRDefault="00ED13FE" w:rsidP="0009153D">
            <w:pPr>
              <w:rPr>
                <w:b/>
                <w:bCs/>
                <w:u w:val="single"/>
              </w:rPr>
            </w:pPr>
            <w:r>
              <w:rPr>
                <w:b/>
                <w:bCs/>
                <w:u w:val="single"/>
              </w:rPr>
              <w:t>LIST OF ABBREVIATIONS</w:t>
            </w:r>
          </w:p>
        </w:tc>
      </w:tr>
      <w:tr w:rsidR="00ED13FE" w:rsidRPr="00ED13FE" w14:paraId="27B83AA3" w14:textId="77777777" w:rsidTr="00ED13FE">
        <w:trPr>
          <w:trHeight w:hRule="exact" w:val="397"/>
        </w:trPr>
        <w:tc>
          <w:tcPr>
            <w:tcW w:w="1129" w:type="dxa"/>
            <w:noWrap/>
            <w:vAlign w:val="center"/>
            <w:hideMark/>
          </w:tcPr>
          <w:p w14:paraId="34D3E59E" w14:textId="77777777" w:rsidR="00ED13FE" w:rsidRPr="00ED13FE" w:rsidRDefault="00ED13FE" w:rsidP="00ED13FE">
            <w:pPr>
              <w:jc w:val="left"/>
              <w:rPr>
                <w:b/>
                <w:bCs/>
              </w:rPr>
            </w:pPr>
            <w:r w:rsidRPr="00ED13FE">
              <w:rPr>
                <w:b/>
                <w:bCs/>
              </w:rPr>
              <w:t>AA</w:t>
            </w:r>
          </w:p>
        </w:tc>
        <w:tc>
          <w:tcPr>
            <w:tcW w:w="7887" w:type="dxa"/>
            <w:noWrap/>
            <w:vAlign w:val="center"/>
            <w:hideMark/>
          </w:tcPr>
          <w:p w14:paraId="401CB0D2" w14:textId="77777777" w:rsidR="00ED13FE" w:rsidRPr="00ED13FE" w:rsidRDefault="00ED13FE" w:rsidP="0009153D">
            <w:pPr>
              <w:jc w:val="left"/>
            </w:pPr>
            <w:r w:rsidRPr="00ED13FE">
              <w:t>Audit Authority</w:t>
            </w:r>
          </w:p>
        </w:tc>
      </w:tr>
      <w:tr w:rsidR="00ED13FE" w:rsidRPr="00ED13FE" w14:paraId="53D3F9F8" w14:textId="77777777" w:rsidTr="00ED13FE">
        <w:trPr>
          <w:trHeight w:hRule="exact" w:val="397"/>
        </w:trPr>
        <w:tc>
          <w:tcPr>
            <w:tcW w:w="1129" w:type="dxa"/>
            <w:noWrap/>
            <w:vAlign w:val="center"/>
            <w:hideMark/>
          </w:tcPr>
          <w:p w14:paraId="61AE4A97" w14:textId="77777777" w:rsidR="00ED13FE" w:rsidRPr="00ED13FE" w:rsidRDefault="00ED13FE" w:rsidP="00ED13FE">
            <w:pPr>
              <w:jc w:val="left"/>
              <w:rPr>
                <w:b/>
                <w:bCs/>
              </w:rPr>
            </w:pPr>
            <w:r w:rsidRPr="00ED13FE">
              <w:rPr>
                <w:b/>
                <w:bCs/>
              </w:rPr>
              <w:t>AAR</w:t>
            </w:r>
          </w:p>
        </w:tc>
        <w:tc>
          <w:tcPr>
            <w:tcW w:w="7887" w:type="dxa"/>
            <w:noWrap/>
            <w:vAlign w:val="center"/>
            <w:hideMark/>
          </w:tcPr>
          <w:p w14:paraId="767078B7" w14:textId="77777777" w:rsidR="00ED13FE" w:rsidRPr="00ED13FE" w:rsidRDefault="00ED13FE" w:rsidP="0009153D">
            <w:pPr>
              <w:jc w:val="left"/>
            </w:pPr>
            <w:r w:rsidRPr="00ED13FE">
              <w:t>Annual Audit Report</w:t>
            </w:r>
          </w:p>
        </w:tc>
      </w:tr>
      <w:tr w:rsidR="00ED13FE" w:rsidRPr="00ED13FE" w14:paraId="55963E06" w14:textId="77777777" w:rsidTr="00ED13FE">
        <w:trPr>
          <w:trHeight w:hRule="exact" w:val="397"/>
        </w:trPr>
        <w:tc>
          <w:tcPr>
            <w:tcW w:w="1129" w:type="dxa"/>
            <w:noWrap/>
            <w:vAlign w:val="center"/>
            <w:hideMark/>
          </w:tcPr>
          <w:p w14:paraId="062971BE" w14:textId="77777777" w:rsidR="00ED13FE" w:rsidRPr="00ED13FE" w:rsidRDefault="00ED13FE" w:rsidP="00ED13FE">
            <w:pPr>
              <w:jc w:val="left"/>
              <w:rPr>
                <w:b/>
                <w:bCs/>
              </w:rPr>
            </w:pPr>
            <w:r w:rsidRPr="00ED13FE">
              <w:rPr>
                <w:b/>
                <w:bCs/>
              </w:rPr>
              <w:t>AO</w:t>
            </w:r>
          </w:p>
        </w:tc>
        <w:tc>
          <w:tcPr>
            <w:tcW w:w="7887" w:type="dxa"/>
            <w:noWrap/>
            <w:vAlign w:val="center"/>
            <w:hideMark/>
          </w:tcPr>
          <w:p w14:paraId="7EFD46E8" w14:textId="77777777" w:rsidR="00ED13FE" w:rsidRPr="00ED13FE" w:rsidRDefault="00ED13FE" w:rsidP="0009153D">
            <w:pPr>
              <w:jc w:val="left"/>
            </w:pPr>
            <w:r w:rsidRPr="00ED13FE">
              <w:t>Audit Opinion</w:t>
            </w:r>
          </w:p>
        </w:tc>
      </w:tr>
      <w:tr w:rsidR="00ED13FE" w:rsidRPr="00ED13FE" w14:paraId="2FEFC124" w14:textId="77777777" w:rsidTr="00ED13FE">
        <w:trPr>
          <w:trHeight w:hRule="exact" w:val="397"/>
        </w:trPr>
        <w:tc>
          <w:tcPr>
            <w:tcW w:w="1129" w:type="dxa"/>
            <w:noWrap/>
            <w:vAlign w:val="center"/>
            <w:hideMark/>
          </w:tcPr>
          <w:p w14:paraId="7FD63CE0" w14:textId="77777777" w:rsidR="00ED13FE" w:rsidRPr="00ED13FE" w:rsidRDefault="00ED13FE" w:rsidP="00ED13FE">
            <w:pPr>
              <w:jc w:val="left"/>
              <w:rPr>
                <w:b/>
                <w:bCs/>
              </w:rPr>
            </w:pPr>
            <w:r w:rsidRPr="00ED13FE">
              <w:rPr>
                <w:b/>
                <w:bCs/>
              </w:rPr>
              <w:t>CA</w:t>
            </w:r>
          </w:p>
        </w:tc>
        <w:tc>
          <w:tcPr>
            <w:tcW w:w="7887" w:type="dxa"/>
            <w:noWrap/>
            <w:vAlign w:val="center"/>
            <w:hideMark/>
          </w:tcPr>
          <w:p w14:paraId="58EA4F44" w14:textId="77777777" w:rsidR="00ED13FE" w:rsidRPr="00ED13FE" w:rsidRDefault="00ED13FE" w:rsidP="0009153D">
            <w:pPr>
              <w:jc w:val="left"/>
            </w:pPr>
            <w:r w:rsidRPr="00ED13FE">
              <w:t>Certifying Authority</w:t>
            </w:r>
          </w:p>
        </w:tc>
      </w:tr>
      <w:tr w:rsidR="00ED13FE" w:rsidRPr="00ED13FE" w14:paraId="6DD0910C" w14:textId="77777777" w:rsidTr="00ED13FE">
        <w:trPr>
          <w:trHeight w:hRule="exact" w:val="397"/>
        </w:trPr>
        <w:tc>
          <w:tcPr>
            <w:tcW w:w="1129" w:type="dxa"/>
            <w:noWrap/>
            <w:vAlign w:val="center"/>
            <w:hideMark/>
          </w:tcPr>
          <w:p w14:paraId="1BD148F6" w14:textId="77777777" w:rsidR="00ED13FE" w:rsidRPr="00ED13FE" w:rsidRDefault="00ED13FE" w:rsidP="00ED13FE">
            <w:pPr>
              <w:jc w:val="left"/>
              <w:rPr>
                <w:b/>
                <w:bCs/>
              </w:rPr>
            </w:pPr>
            <w:r w:rsidRPr="00ED13FE">
              <w:rPr>
                <w:b/>
                <w:bCs/>
              </w:rPr>
              <w:t>DPP</w:t>
            </w:r>
          </w:p>
        </w:tc>
        <w:tc>
          <w:tcPr>
            <w:tcW w:w="7887" w:type="dxa"/>
            <w:noWrap/>
            <w:vAlign w:val="center"/>
            <w:hideMark/>
          </w:tcPr>
          <w:p w14:paraId="46E8D8C3" w14:textId="77777777" w:rsidR="00ED13FE" w:rsidRPr="00ED13FE" w:rsidRDefault="00ED13FE" w:rsidP="0009153D">
            <w:pPr>
              <w:jc w:val="left"/>
            </w:pPr>
            <w:r w:rsidRPr="00ED13FE">
              <w:t>Donor Programme Partner</w:t>
            </w:r>
          </w:p>
        </w:tc>
      </w:tr>
      <w:tr w:rsidR="00ED13FE" w:rsidRPr="00ED13FE" w14:paraId="755B622D" w14:textId="77777777" w:rsidTr="00ED13FE">
        <w:trPr>
          <w:trHeight w:hRule="exact" w:val="397"/>
        </w:trPr>
        <w:tc>
          <w:tcPr>
            <w:tcW w:w="1129" w:type="dxa"/>
            <w:noWrap/>
            <w:vAlign w:val="center"/>
            <w:hideMark/>
          </w:tcPr>
          <w:p w14:paraId="75595BE3" w14:textId="77777777" w:rsidR="00ED13FE" w:rsidRPr="00ED13FE" w:rsidRDefault="00ED13FE" w:rsidP="00ED13FE">
            <w:pPr>
              <w:jc w:val="left"/>
              <w:rPr>
                <w:b/>
                <w:bCs/>
              </w:rPr>
            </w:pPr>
            <w:r w:rsidRPr="00ED13FE">
              <w:rPr>
                <w:b/>
                <w:bCs/>
              </w:rPr>
              <w:t>EEA</w:t>
            </w:r>
          </w:p>
        </w:tc>
        <w:tc>
          <w:tcPr>
            <w:tcW w:w="7887" w:type="dxa"/>
            <w:noWrap/>
            <w:vAlign w:val="center"/>
            <w:hideMark/>
          </w:tcPr>
          <w:p w14:paraId="00270E47" w14:textId="77777777" w:rsidR="00ED13FE" w:rsidRPr="00ED13FE" w:rsidRDefault="00ED13FE" w:rsidP="0009153D">
            <w:pPr>
              <w:jc w:val="left"/>
            </w:pPr>
            <w:r w:rsidRPr="00ED13FE">
              <w:t>European Economic Area</w:t>
            </w:r>
          </w:p>
        </w:tc>
      </w:tr>
      <w:tr w:rsidR="00ED13FE" w:rsidRPr="00ED13FE" w14:paraId="743CCF1B" w14:textId="77777777" w:rsidTr="00ED13FE">
        <w:trPr>
          <w:trHeight w:hRule="exact" w:val="397"/>
        </w:trPr>
        <w:tc>
          <w:tcPr>
            <w:tcW w:w="1129" w:type="dxa"/>
            <w:noWrap/>
            <w:vAlign w:val="center"/>
            <w:hideMark/>
          </w:tcPr>
          <w:p w14:paraId="4DD254E1" w14:textId="77777777" w:rsidR="00ED13FE" w:rsidRPr="00ED13FE" w:rsidRDefault="00ED13FE" w:rsidP="00ED13FE">
            <w:pPr>
              <w:jc w:val="left"/>
              <w:rPr>
                <w:b/>
                <w:bCs/>
              </w:rPr>
            </w:pPr>
            <w:r w:rsidRPr="00ED13FE">
              <w:rPr>
                <w:b/>
                <w:bCs/>
              </w:rPr>
              <w:t>EU</w:t>
            </w:r>
          </w:p>
        </w:tc>
        <w:tc>
          <w:tcPr>
            <w:tcW w:w="7887" w:type="dxa"/>
            <w:noWrap/>
            <w:vAlign w:val="center"/>
            <w:hideMark/>
          </w:tcPr>
          <w:p w14:paraId="190F1F9F" w14:textId="77777777" w:rsidR="00ED13FE" w:rsidRPr="00ED13FE" w:rsidRDefault="00ED13FE" w:rsidP="0009153D">
            <w:pPr>
              <w:jc w:val="left"/>
            </w:pPr>
            <w:r w:rsidRPr="00ED13FE">
              <w:t>European Union</w:t>
            </w:r>
          </w:p>
        </w:tc>
      </w:tr>
      <w:tr w:rsidR="00ED13FE" w:rsidRPr="00ED13FE" w14:paraId="7C0713D7" w14:textId="77777777" w:rsidTr="00ED13FE">
        <w:trPr>
          <w:trHeight w:hRule="exact" w:val="397"/>
        </w:trPr>
        <w:tc>
          <w:tcPr>
            <w:tcW w:w="1129" w:type="dxa"/>
            <w:noWrap/>
            <w:vAlign w:val="center"/>
            <w:hideMark/>
          </w:tcPr>
          <w:p w14:paraId="5BE22F6D" w14:textId="77777777" w:rsidR="00ED13FE" w:rsidRPr="00ED13FE" w:rsidRDefault="00ED13FE" w:rsidP="00ED13FE">
            <w:pPr>
              <w:jc w:val="left"/>
              <w:rPr>
                <w:b/>
                <w:bCs/>
              </w:rPr>
            </w:pPr>
            <w:r w:rsidRPr="00ED13FE">
              <w:rPr>
                <w:b/>
                <w:bCs/>
              </w:rPr>
              <w:t>EUR</w:t>
            </w:r>
          </w:p>
        </w:tc>
        <w:tc>
          <w:tcPr>
            <w:tcW w:w="7887" w:type="dxa"/>
            <w:noWrap/>
            <w:vAlign w:val="center"/>
            <w:hideMark/>
          </w:tcPr>
          <w:p w14:paraId="0F4242BD" w14:textId="77777777" w:rsidR="00ED13FE" w:rsidRPr="00ED13FE" w:rsidRDefault="00ED13FE" w:rsidP="0009153D">
            <w:pPr>
              <w:jc w:val="left"/>
            </w:pPr>
            <w:r w:rsidRPr="00ED13FE">
              <w:t>Euro</w:t>
            </w:r>
          </w:p>
        </w:tc>
      </w:tr>
      <w:tr w:rsidR="00ED13FE" w:rsidRPr="00ED13FE" w14:paraId="5EADD97B" w14:textId="77777777" w:rsidTr="00ED13FE">
        <w:trPr>
          <w:trHeight w:hRule="exact" w:val="397"/>
        </w:trPr>
        <w:tc>
          <w:tcPr>
            <w:tcW w:w="1129" w:type="dxa"/>
            <w:noWrap/>
            <w:vAlign w:val="center"/>
            <w:hideMark/>
          </w:tcPr>
          <w:p w14:paraId="36910E60" w14:textId="77777777" w:rsidR="00ED13FE" w:rsidRPr="00ED13FE" w:rsidRDefault="00ED13FE" w:rsidP="00ED13FE">
            <w:pPr>
              <w:jc w:val="left"/>
              <w:rPr>
                <w:b/>
                <w:bCs/>
              </w:rPr>
            </w:pPr>
            <w:r w:rsidRPr="00ED13FE">
              <w:rPr>
                <w:b/>
                <w:bCs/>
              </w:rPr>
              <w:t>FMC</w:t>
            </w:r>
          </w:p>
        </w:tc>
        <w:tc>
          <w:tcPr>
            <w:tcW w:w="7887" w:type="dxa"/>
            <w:noWrap/>
            <w:vAlign w:val="center"/>
            <w:hideMark/>
          </w:tcPr>
          <w:p w14:paraId="75E148AC" w14:textId="77777777" w:rsidR="00ED13FE" w:rsidRPr="00ED13FE" w:rsidRDefault="00ED13FE" w:rsidP="0009153D">
            <w:pPr>
              <w:jc w:val="left"/>
            </w:pPr>
            <w:r w:rsidRPr="00ED13FE">
              <w:t>Financial Mechanism Committee</w:t>
            </w:r>
          </w:p>
        </w:tc>
      </w:tr>
      <w:tr w:rsidR="00ED13FE" w:rsidRPr="00ED13FE" w14:paraId="67BFBBA7" w14:textId="77777777" w:rsidTr="00ED13FE">
        <w:trPr>
          <w:trHeight w:hRule="exact" w:val="397"/>
        </w:trPr>
        <w:tc>
          <w:tcPr>
            <w:tcW w:w="1129" w:type="dxa"/>
            <w:noWrap/>
            <w:vAlign w:val="center"/>
            <w:hideMark/>
          </w:tcPr>
          <w:p w14:paraId="4E7D2C35" w14:textId="77777777" w:rsidR="00ED13FE" w:rsidRPr="00ED13FE" w:rsidRDefault="00ED13FE" w:rsidP="00ED13FE">
            <w:pPr>
              <w:jc w:val="left"/>
              <w:rPr>
                <w:b/>
                <w:bCs/>
              </w:rPr>
            </w:pPr>
            <w:r w:rsidRPr="00ED13FE">
              <w:rPr>
                <w:b/>
                <w:bCs/>
              </w:rPr>
              <w:t>FMO</w:t>
            </w:r>
          </w:p>
        </w:tc>
        <w:tc>
          <w:tcPr>
            <w:tcW w:w="7887" w:type="dxa"/>
            <w:noWrap/>
            <w:vAlign w:val="center"/>
            <w:hideMark/>
          </w:tcPr>
          <w:p w14:paraId="28CC9A5B" w14:textId="77777777" w:rsidR="00ED13FE" w:rsidRDefault="00ED13FE" w:rsidP="0009153D">
            <w:pPr>
              <w:jc w:val="left"/>
            </w:pPr>
            <w:r w:rsidRPr="00ED13FE">
              <w:t>Financial Mechanism Office</w:t>
            </w:r>
          </w:p>
          <w:p w14:paraId="3E960175" w14:textId="77777777" w:rsidR="00A71C12" w:rsidRDefault="00A71C12" w:rsidP="0009153D">
            <w:pPr>
              <w:jc w:val="left"/>
            </w:pPr>
          </w:p>
          <w:p w14:paraId="6B79E6BE" w14:textId="77777777" w:rsidR="00A71C12" w:rsidRDefault="00A71C12" w:rsidP="0009153D">
            <w:pPr>
              <w:jc w:val="left"/>
            </w:pPr>
          </w:p>
          <w:p w14:paraId="50836308" w14:textId="77777777" w:rsidR="007A1507" w:rsidRDefault="007A1507" w:rsidP="0009153D">
            <w:pPr>
              <w:jc w:val="left"/>
            </w:pPr>
          </w:p>
          <w:p w14:paraId="5B7B01CC" w14:textId="77777777" w:rsidR="007A1507" w:rsidRDefault="007A1507" w:rsidP="0009153D">
            <w:pPr>
              <w:jc w:val="left"/>
            </w:pPr>
          </w:p>
          <w:p w14:paraId="4C4A617C" w14:textId="77777777" w:rsidR="007A1507" w:rsidRDefault="007A1507" w:rsidP="0009153D">
            <w:pPr>
              <w:jc w:val="left"/>
            </w:pPr>
          </w:p>
          <w:p w14:paraId="5C8AB660" w14:textId="77777777" w:rsidR="007A1507" w:rsidRDefault="007A1507" w:rsidP="0009153D">
            <w:pPr>
              <w:jc w:val="left"/>
            </w:pPr>
          </w:p>
          <w:p w14:paraId="3315D601" w14:textId="77777777" w:rsidR="007A1507" w:rsidRPr="00ED13FE" w:rsidRDefault="007A1507" w:rsidP="0009153D">
            <w:pPr>
              <w:jc w:val="left"/>
            </w:pPr>
          </w:p>
        </w:tc>
      </w:tr>
      <w:tr w:rsidR="00A71C12" w:rsidRPr="00ED13FE" w14:paraId="2BD67B51" w14:textId="77777777" w:rsidTr="00ED13FE">
        <w:trPr>
          <w:trHeight w:hRule="exact" w:val="397"/>
        </w:trPr>
        <w:tc>
          <w:tcPr>
            <w:tcW w:w="1129" w:type="dxa"/>
            <w:noWrap/>
            <w:vAlign w:val="center"/>
          </w:tcPr>
          <w:p w14:paraId="330996D5" w14:textId="5E4596FC" w:rsidR="00A71C12" w:rsidRPr="00ED13FE" w:rsidRDefault="00A71C12" w:rsidP="00ED13FE">
            <w:pPr>
              <w:jc w:val="left"/>
              <w:rPr>
                <w:b/>
                <w:bCs/>
              </w:rPr>
            </w:pPr>
            <w:r>
              <w:rPr>
                <w:b/>
                <w:bCs/>
              </w:rPr>
              <w:t>FPR</w:t>
            </w:r>
          </w:p>
        </w:tc>
        <w:tc>
          <w:tcPr>
            <w:tcW w:w="7887" w:type="dxa"/>
            <w:noWrap/>
            <w:vAlign w:val="center"/>
          </w:tcPr>
          <w:p w14:paraId="11EC2866" w14:textId="2EBE231B" w:rsidR="00A71C12" w:rsidRPr="00ED13FE" w:rsidRDefault="00A71C12" w:rsidP="0009153D">
            <w:pPr>
              <w:jc w:val="left"/>
            </w:pPr>
            <w:r>
              <w:t>Final Programme Report</w:t>
            </w:r>
          </w:p>
        </w:tc>
      </w:tr>
      <w:tr w:rsidR="00ED13FE" w:rsidRPr="00ED13FE" w14:paraId="6E3DEBB8" w14:textId="77777777" w:rsidTr="00ED13FE">
        <w:trPr>
          <w:trHeight w:hRule="exact" w:val="397"/>
        </w:trPr>
        <w:tc>
          <w:tcPr>
            <w:tcW w:w="1129" w:type="dxa"/>
            <w:noWrap/>
            <w:vAlign w:val="center"/>
            <w:hideMark/>
          </w:tcPr>
          <w:p w14:paraId="418EE6F6" w14:textId="77777777" w:rsidR="00ED13FE" w:rsidRPr="00ED13FE" w:rsidRDefault="00ED13FE" w:rsidP="00ED13FE">
            <w:pPr>
              <w:jc w:val="left"/>
              <w:rPr>
                <w:b/>
                <w:bCs/>
              </w:rPr>
            </w:pPr>
            <w:r w:rsidRPr="00ED13FE">
              <w:rPr>
                <w:b/>
                <w:bCs/>
              </w:rPr>
              <w:t>IFAC</w:t>
            </w:r>
          </w:p>
        </w:tc>
        <w:tc>
          <w:tcPr>
            <w:tcW w:w="7887" w:type="dxa"/>
            <w:noWrap/>
            <w:vAlign w:val="center"/>
            <w:hideMark/>
          </w:tcPr>
          <w:p w14:paraId="223F376C" w14:textId="77777777" w:rsidR="00ED13FE" w:rsidRPr="00ED13FE" w:rsidRDefault="00ED13FE" w:rsidP="0009153D">
            <w:pPr>
              <w:jc w:val="left"/>
            </w:pPr>
            <w:r w:rsidRPr="00ED13FE">
              <w:t>International Federation of Accountants</w:t>
            </w:r>
          </w:p>
        </w:tc>
      </w:tr>
      <w:tr w:rsidR="00ED13FE" w:rsidRPr="00ED13FE" w14:paraId="005C35F2" w14:textId="77777777" w:rsidTr="00ED13FE">
        <w:trPr>
          <w:trHeight w:hRule="exact" w:val="397"/>
        </w:trPr>
        <w:tc>
          <w:tcPr>
            <w:tcW w:w="1129" w:type="dxa"/>
            <w:noWrap/>
            <w:vAlign w:val="center"/>
            <w:hideMark/>
          </w:tcPr>
          <w:p w14:paraId="5888E89B" w14:textId="77777777" w:rsidR="00ED13FE" w:rsidRPr="00ED13FE" w:rsidRDefault="00ED13FE" w:rsidP="00ED13FE">
            <w:pPr>
              <w:jc w:val="left"/>
              <w:rPr>
                <w:b/>
                <w:bCs/>
              </w:rPr>
            </w:pPr>
            <w:r w:rsidRPr="00ED13FE">
              <w:rPr>
                <w:b/>
                <w:bCs/>
              </w:rPr>
              <w:t>IFR</w:t>
            </w:r>
          </w:p>
        </w:tc>
        <w:tc>
          <w:tcPr>
            <w:tcW w:w="7887" w:type="dxa"/>
            <w:noWrap/>
            <w:vAlign w:val="center"/>
            <w:hideMark/>
          </w:tcPr>
          <w:p w14:paraId="1900CB6C" w14:textId="77777777" w:rsidR="00ED13FE" w:rsidRDefault="00ED13FE" w:rsidP="0009153D">
            <w:pPr>
              <w:jc w:val="left"/>
            </w:pPr>
            <w:r w:rsidRPr="00ED13FE">
              <w:t>Interim Financial Report</w:t>
            </w:r>
          </w:p>
          <w:p w14:paraId="17505867" w14:textId="77777777" w:rsidR="007A1507" w:rsidRPr="00ED13FE" w:rsidRDefault="007A1507" w:rsidP="0009153D">
            <w:pPr>
              <w:jc w:val="left"/>
            </w:pPr>
          </w:p>
        </w:tc>
      </w:tr>
      <w:tr w:rsidR="00ED13FE" w:rsidRPr="00ED13FE" w14:paraId="5A58D1A8" w14:textId="77777777" w:rsidTr="00ED13FE">
        <w:trPr>
          <w:trHeight w:hRule="exact" w:val="397"/>
        </w:trPr>
        <w:tc>
          <w:tcPr>
            <w:tcW w:w="1129" w:type="dxa"/>
            <w:noWrap/>
            <w:vAlign w:val="center"/>
            <w:hideMark/>
          </w:tcPr>
          <w:p w14:paraId="6C8E462D" w14:textId="77777777" w:rsidR="00ED13FE" w:rsidRPr="00ED13FE" w:rsidRDefault="00ED13FE" w:rsidP="00ED13FE">
            <w:pPr>
              <w:jc w:val="left"/>
              <w:rPr>
                <w:b/>
                <w:bCs/>
              </w:rPr>
            </w:pPr>
            <w:r w:rsidRPr="00ED13FE">
              <w:rPr>
                <w:b/>
                <w:bCs/>
              </w:rPr>
              <w:t>INTOSAI</w:t>
            </w:r>
          </w:p>
        </w:tc>
        <w:tc>
          <w:tcPr>
            <w:tcW w:w="7887" w:type="dxa"/>
            <w:noWrap/>
            <w:vAlign w:val="center"/>
            <w:hideMark/>
          </w:tcPr>
          <w:p w14:paraId="29270E35" w14:textId="77777777" w:rsidR="00ED13FE" w:rsidRPr="00ED13FE" w:rsidRDefault="00ED13FE" w:rsidP="0009153D">
            <w:pPr>
              <w:jc w:val="left"/>
            </w:pPr>
            <w:r w:rsidRPr="00ED13FE">
              <w:t>International Organisation of Supreme Audit Institutions</w:t>
            </w:r>
          </w:p>
        </w:tc>
      </w:tr>
      <w:tr w:rsidR="00ED13FE" w:rsidRPr="00ED13FE" w14:paraId="0923D74D" w14:textId="77777777" w:rsidTr="00ED13FE">
        <w:trPr>
          <w:trHeight w:hRule="exact" w:val="397"/>
        </w:trPr>
        <w:tc>
          <w:tcPr>
            <w:tcW w:w="1129" w:type="dxa"/>
            <w:noWrap/>
            <w:vAlign w:val="center"/>
            <w:hideMark/>
          </w:tcPr>
          <w:p w14:paraId="1C700209" w14:textId="77777777" w:rsidR="00ED13FE" w:rsidRPr="00ED13FE" w:rsidRDefault="00ED13FE" w:rsidP="00ED13FE">
            <w:pPr>
              <w:jc w:val="left"/>
              <w:rPr>
                <w:b/>
                <w:bCs/>
              </w:rPr>
            </w:pPr>
            <w:r w:rsidRPr="00ED13FE">
              <w:rPr>
                <w:b/>
                <w:bCs/>
              </w:rPr>
              <w:t>IPO</w:t>
            </w:r>
          </w:p>
        </w:tc>
        <w:tc>
          <w:tcPr>
            <w:tcW w:w="7887" w:type="dxa"/>
            <w:noWrap/>
            <w:vAlign w:val="center"/>
            <w:hideMark/>
          </w:tcPr>
          <w:p w14:paraId="100ACB3F" w14:textId="77777777" w:rsidR="00ED13FE" w:rsidRPr="00ED13FE" w:rsidRDefault="00ED13FE" w:rsidP="0009153D">
            <w:pPr>
              <w:jc w:val="left"/>
            </w:pPr>
            <w:r w:rsidRPr="00ED13FE">
              <w:t>International Partner Organisation</w:t>
            </w:r>
          </w:p>
        </w:tc>
      </w:tr>
      <w:tr w:rsidR="00ED13FE" w:rsidRPr="00ED13FE" w14:paraId="3C29E3C6" w14:textId="77777777" w:rsidTr="00ED13FE">
        <w:trPr>
          <w:trHeight w:hRule="exact" w:val="397"/>
        </w:trPr>
        <w:tc>
          <w:tcPr>
            <w:tcW w:w="1129" w:type="dxa"/>
            <w:noWrap/>
            <w:vAlign w:val="center"/>
            <w:hideMark/>
          </w:tcPr>
          <w:p w14:paraId="3F076D47" w14:textId="77777777" w:rsidR="00ED13FE" w:rsidRPr="00ED13FE" w:rsidRDefault="00ED13FE" w:rsidP="00ED13FE">
            <w:pPr>
              <w:jc w:val="left"/>
              <w:rPr>
                <w:b/>
                <w:bCs/>
              </w:rPr>
            </w:pPr>
            <w:r w:rsidRPr="00ED13FE">
              <w:rPr>
                <w:b/>
                <w:bCs/>
              </w:rPr>
              <w:t>ISA</w:t>
            </w:r>
          </w:p>
        </w:tc>
        <w:tc>
          <w:tcPr>
            <w:tcW w:w="7887" w:type="dxa"/>
            <w:noWrap/>
            <w:vAlign w:val="center"/>
            <w:hideMark/>
          </w:tcPr>
          <w:p w14:paraId="1AF82180" w14:textId="77777777" w:rsidR="00ED13FE" w:rsidRPr="00ED13FE" w:rsidRDefault="00ED13FE" w:rsidP="0009153D">
            <w:pPr>
              <w:jc w:val="left"/>
            </w:pPr>
            <w:r w:rsidRPr="00ED13FE">
              <w:t>International Standard on Auditing</w:t>
            </w:r>
          </w:p>
        </w:tc>
      </w:tr>
      <w:tr w:rsidR="00ED13FE" w:rsidRPr="00ED13FE" w14:paraId="0C53F377" w14:textId="77777777" w:rsidTr="00ED13FE">
        <w:trPr>
          <w:trHeight w:hRule="exact" w:val="397"/>
        </w:trPr>
        <w:tc>
          <w:tcPr>
            <w:tcW w:w="1129" w:type="dxa"/>
            <w:noWrap/>
            <w:vAlign w:val="center"/>
            <w:hideMark/>
          </w:tcPr>
          <w:p w14:paraId="2E13E637" w14:textId="77777777" w:rsidR="00ED13FE" w:rsidRPr="00ED13FE" w:rsidRDefault="00ED13FE" w:rsidP="00ED13FE">
            <w:pPr>
              <w:jc w:val="left"/>
              <w:rPr>
                <w:b/>
                <w:bCs/>
              </w:rPr>
            </w:pPr>
            <w:r w:rsidRPr="00ED13FE">
              <w:rPr>
                <w:b/>
                <w:bCs/>
              </w:rPr>
              <w:t>ISSAI</w:t>
            </w:r>
          </w:p>
        </w:tc>
        <w:tc>
          <w:tcPr>
            <w:tcW w:w="7887" w:type="dxa"/>
            <w:noWrap/>
            <w:vAlign w:val="center"/>
            <w:hideMark/>
          </w:tcPr>
          <w:p w14:paraId="4C73AA2A" w14:textId="77777777" w:rsidR="00ED13FE" w:rsidRPr="00ED13FE" w:rsidRDefault="00ED13FE" w:rsidP="0009153D">
            <w:pPr>
              <w:jc w:val="left"/>
            </w:pPr>
            <w:r w:rsidRPr="00ED13FE">
              <w:t>International Standard of Supreme Audit Institutions</w:t>
            </w:r>
          </w:p>
        </w:tc>
      </w:tr>
      <w:tr w:rsidR="00ED13FE" w:rsidRPr="00ED13FE" w14:paraId="6626F88B" w14:textId="77777777" w:rsidTr="00ED13FE">
        <w:trPr>
          <w:trHeight w:hRule="exact" w:val="397"/>
        </w:trPr>
        <w:tc>
          <w:tcPr>
            <w:tcW w:w="1129" w:type="dxa"/>
            <w:noWrap/>
            <w:vAlign w:val="center"/>
            <w:hideMark/>
          </w:tcPr>
          <w:p w14:paraId="0BAFC66B" w14:textId="77777777" w:rsidR="00ED13FE" w:rsidRPr="00ED13FE" w:rsidRDefault="00ED13FE" w:rsidP="00ED13FE">
            <w:pPr>
              <w:jc w:val="left"/>
              <w:rPr>
                <w:b/>
                <w:bCs/>
              </w:rPr>
            </w:pPr>
            <w:r w:rsidRPr="00ED13FE">
              <w:rPr>
                <w:b/>
                <w:bCs/>
              </w:rPr>
              <w:t>ISRS</w:t>
            </w:r>
          </w:p>
        </w:tc>
        <w:tc>
          <w:tcPr>
            <w:tcW w:w="7887" w:type="dxa"/>
            <w:noWrap/>
            <w:vAlign w:val="center"/>
            <w:hideMark/>
          </w:tcPr>
          <w:p w14:paraId="715BB476" w14:textId="77777777" w:rsidR="00ED13FE" w:rsidRPr="00ED13FE" w:rsidRDefault="00ED13FE" w:rsidP="0009153D">
            <w:pPr>
              <w:jc w:val="left"/>
            </w:pPr>
            <w:r w:rsidRPr="00ED13FE">
              <w:t>International Standard on Related Services</w:t>
            </w:r>
          </w:p>
        </w:tc>
      </w:tr>
      <w:tr w:rsidR="00ED13FE" w:rsidRPr="00ED13FE" w14:paraId="4A6C2D10" w14:textId="77777777" w:rsidTr="00ED13FE">
        <w:trPr>
          <w:trHeight w:hRule="exact" w:val="397"/>
        </w:trPr>
        <w:tc>
          <w:tcPr>
            <w:tcW w:w="1129" w:type="dxa"/>
            <w:noWrap/>
            <w:vAlign w:val="center"/>
            <w:hideMark/>
          </w:tcPr>
          <w:p w14:paraId="0019D912" w14:textId="77777777" w:rsidR="00ED13FE" w:rsidRPr="00ED13FE" w:rsidRDefault="00ED13FE" w:rsidP="00ED13FE">
            <w:pPr>
              <w:jc w:val="left"/>
              <w:rPr>
                <w:b/>
                <w:bCs/>
              </w:rPr>
            </w:pPr>
            <w:r w:rsidRPr="00ED13FE">
              <w:rPr>
                <w:b/>
                <w:bCs/>
              </w:rPr>
              <w:t>MCS</w:t>
            </w:r>
          </w:p>
        </w:tc>
        <w:tc>
          <w:tcPr>
            <w:tcW w:w="7887" w:type="dxa"/>
            <w:noWrap/>
            <w:vAlign w:val="center"/>
            <w:hideMark/>
          </w:tcPr>
          <w:p w14:paraId="7AA94294" w14:textId="42E3B387" w:rsidR="00ED13FE" w:rsidRPr="00ED13FE" w:rsidRDefault="00ED13FE" w:rsidP="0009153D">
            <w:pPr>
              <w:jc w:val="left"/>
            </w:pPr>
            <w:r w:rsidRPr="00ED13FE">
              <w:t>Management and Control System</w:t>
            </w:r>
            <w:r w:rsidR="003F1DC7">
              <w:t>s</w:t>
            </w:r>
          </w:p>
        </w:tc>
      </w:tr>
      <w:tr w:rsidR="00ED13FE" w:rsidRPr="00ED13FE" w14:paraId="0F86C33A" w14:textId="77777777" w:rsidTr="00ED13FE">
        <w:trPr>
          <w:trHeight w:hRule="exact" w:val="397"/>
        </w:trPr>
        <w:tc>
          <w:tcPr>
            <w:tcW w:w="1129" w:type="dxa"/>
            <w:noWrap/>
            <w:vAlign w:val="center"/>
            <w:hideMark/>
          </w:tcPr>
          <w:p w14:paraId="3309ABAF" w14:textId="77777777" w:rsidR="00ED13FE" w:rsidRPr="00ED13FE" w:rsidRDefault="00ED13FE" w:rsidP="00ED13FE">
            <w:pPr>
              <w:jc w:val="left"/>
              <w:rPr>
                <w:b/>
                <w:bCs/>
              </w:rPr>
            </w:pPr>
            <w:r w:rsidRPr="00ED13FE">
              <w:rPr>
                <w:b/>
                <w:bCs/>
              </w:rPr>
              <w:t>MoU</w:t>
            </w:r>
          </w:p>
        </w:tc>
        <w:tc>
          <w:tcPr>
            <w:tcW w:w="7887" w:type="dxa"/>
            <w:noWrap/>
            <w:vAlign w:val="center"/>
            <w:hideMark/>
          </w:tcPr>
          <w:p w14:paraId="150C2F7E" w14:textId="77777777" w:rsidR="00ED13FE" w:rsidRPr="00ED13FE" w:rsidRDefault="00ED13FE" w:rsidP="0009153D">
            <w:pPr>
              <w:jc w:val="left"/>
            </w:pPr>
            <w:r w:rsidRPr="00ED13FE">
              <w:t>Memorandum of Understanding</w:t>
            </w:r>
          </w:p>
        </w:tc>
      </w:tr>
      <w:tr w:rsidR="00ED13FE" w:rsidRPr="00ED13FE" w14:paraId="27514DD9" w14:textId="77777777" w:rsidTr="00ED13FE">
        <w:trPr>
          <w:trHeight w:hRule="exact" w:val="397"/>
        </w:trPr>
        <w:tc>
          <w:tcPr>
            <w:tcW w:w="1129" w:type="dxa"/>
            <w:noWrap/>
            <w:vAlign w:val="center"/>
            <w:hideMark/>
          </w:tcPr>
          <w:p w14:paraId="3FFC425D" w14:textId="77777777" w:rsidR="00ED13FE" w:rsidRPr="00ED13FE" w:rsidRDefault="00ED13FE" w:rsidP="00ED13FE">
            <w:pPr>
              <w:jc w:val="left"/>
              <w:rPr>
                <w:b/>
                <w:bCs/>
              </w:rPr>
            </w:pPr>
            <w:r w:rsidRPr="00ED13FE">
              <w:rPr>
                <w:b/>
                <w:bCs/>
              </w:rPr>
              <w:t>NFP</w:t>
            </w:r>
          </w:p>
        </w:tc>
        <w:tc>
          <w:tcPr>
            <w:tcW w:w="7887" w:type="dxa"/>
            <w:noWrap/>
            <w:vAlign w:val="center"/>
            <w:hideMark/>
          </w:tcPr>
          <w:p w14:paraId="4B8ACFC3" w14:textId="77777777" w:rsidR="00ED13FE" w:rsidRPr="00ED13FE" w:rsidRDefault="00ED13FE" w:rsidP="0009153D">
            <w:pPr>
              <w:jc w:val="left"/>
            </w:pPr>
            <w:r w:rsidRPr="00ED13FE">
              <w:t>National Focal Point</w:t>
            </w:r>
          </w:p>
        </w:tc>
      </w:tr>
      <w:tr w:rsidR="00ED13FE" w:rsidRPr="00ED13FE" w14:paraId="171BAE41" w14:textId="77777777" w:rsidTr="00ED13FE">
        <w:trPr>
          <w:trHeight w:hRule="exact" w:val="397"/>
        </w:trPr>
        <w:tc>
          <w:tcPr>
            <w:tcW w:w="1129" w:type="dxa"/>
            <w:noWrap/>
            <w:vAlign w:val="center"/>
            <w:hideMark/>
          </w:tcPr>
          <w:p w14:paraId="752447C9" w14:textId="77777777" w:rsidR="00ED13FE" w:rsidRPr="00ED13FE" w:rsidRDefault="00ED13FE" w:rsidP="00ED13FE">
            <w:pPr>
              <w:jc w:val="left"/>
              <w:rPr>
                <w:b/>
                <w:bCs/>
              </w:rPr>
            </w:pPr>
            <w:r w:rsidRPr="00ED13FE">
              <w:rPr>
                <w:b/>
                <w:bCs/>
              </w:rPr>
              <w:t>NGO</w:t>
            </w:r>
          </w:p>
        </w:tc>
        <w:tc>
          <w:tcPr>
            <w:tcW w:w="7887" w:type="dxa"/>
            <w:noWrap/>
            <w:vAlign w:val="center"/>
            <w:hideMark/>
          </w:tcPr>
          <w:p w14:paraId="0BE2CE94" w14:textId="77777777" w:rsidR="00ED13FE" w:rsidRPr="00ED13FE" w:rsidRDefault="00ED13FE" w:rsidP="0009153D">
            <w:pPr>
              <w:jc w:val="left"/>
            </w:pPr>
            <w:r w:rsidRPr="00ED13FE">
              <w:t>Non-governmental Organisation</w:t>
            </w:r>
          </w:p>
        </w:tc>
      </w:tr>
      <w:tr w:rsidR="00ED13FE" w:rsidRPr="00ED13FE" w14:paraId="5534A77A" w14:textId="77777777" w:rsidTr="00ED13FE">
        <w:trPr>
          <w:trHeight w:hRule="exact" w:val="397"/>
        </w:trPr>
        <w:tc>
          <w:tcPr>
            <w:tcW w:w="1129" w:type="dxa"/>
            <w:noWrap/>
            <w:vAlign w:val="center"/>
            <w:hideMark/>
          </w:tcPr>
          <w:p w14:paraId="1BF8A6B8" w14:textId="77777777" w:rsidR="00ED13FE" w:rsidRPr="00ED13FE" w:rsidRDefault="00ED13FE" w:rsidP="00ED13FE">
            <w:pPr>
              <w:jc w:val="left"/>
              <w:rPr>
                <w:b/>
                <w:bCs/>
              </w:rPr>
            </w:pPr>
            <w:r w:rsidRPr="00ED13FE">
              <w:rPr>
                <w:b/>
                <w:bCs/>
              </w:rPr>
              <w:t>NMFA</w:t>
            </w:r>
          </w:p>
        </w:tc>
        <w:tc>
          <w:tcPr>
            <w:tcW w:w="7887" w:type="dxa"/>
            <w:noWrap/>
            <w:vAlign w:val="center"/>
            <w:hideMark/>
          </w:tcPr>
          <w:p w14:paraId="2D208FAD" w14:textId="77777777" w:rsidR="00ED13FE" w:rsidRPr="00ED13FE" w:rsidRDefault="00ED13FE" w:rsidP="0009153D">
            <w:pPr>
              <w:jc w:val="left"/>
            </w:pPr>
            <w:r w:rsidRPr="00ED13FE">
              <w:t>Norwegian Ministry of Foreign Affairs</w:t>
            </w:r>
          </w:p>
        </w:tc>
      </w:tr>
      <w:tr w:rsidR="00ED13FE" w:rsidRPr="00ED13FE" w14:paraId="5BE63AC4" w14:textId="77777777" w:rsidTr="00ED13FE">
        <w:trPr>
          <w:trHeight w:hRule="exact" w:val="397"/>
        </w:trPr>
        <w:tc>
          <w:tcPr>
            <w:tcW w:w="1129" w:type="dxa"/>
            <w:noWrap/>
            <w:vAlign w:val="center"/>
            <w:hideMark/>
          </w:tcPr>
          <w:p w14:paraId="6009E609" w14:textId="77777777" w:rsidR="00ED13FE" w:rsidRPr="00ED13FE" w:rsidRDefault="00ED13FE" w:rsidP="00ED13FE">
            <w:pPr>
              <w:jc w:val="left"/>
              <w:rPr>
                <w:b/>
                <w:bCs/>
              </w:rPr>
            </w:pPr>
            <w:r w:rsidRPr="00ED13FE">
              <w:rPr>
                <w:b/>
                <w:bCs/>
              </w:rPr>
              <w:t>PA</w:t>
            </w:r>
          </w:p>
        </w:tc>
        <w:tc>
          <w:tcPr>
            <w:tcW w:w="7887" w:type="dxa"/>
            <w:noWrap/>
            <w:vAlign w:val="center"/>
            <w:hideMark/>
          </w:tcPr>
          <w:p w14:paraId="76CAC4A1" w14:textId="77777777" w:rsidR="00ED13FE" w:rsidRPr="00ED13FE" w:rsidRDefault="00ED13FE" w:rsidP="0009153D">
            <w:pPr>
              <w:jc w:val="left"/>
            </w:pPr>
            <w:r w:rsidRPr="00ED13FE">
              <w:t>Programme Area</w:t>
            </w:r>
          </w:p>
        </w:tc>
      </w:tr>
      <w:tr w:rsidR="00ED13FE" w:rsidRPr="00ED13FE" w14:paraId="26DC2ECB" w14:textId="77777777" w:rsidTr="00ED13FE">
        <w:trPr>
          <w:trHeight w:hRule="exact" w:val="397"/>
        </w:trPr>
        <w:tc>
          <w:tcPr>
            <w:tcW w:w="1129" w:type="dxa"/>
            <w:noWrap/>
            <w:vAlign w:val="center"/>
            <w:hideMark/>
          </w:tcPr>
          <w:p w14:paraId="2A6948CC" w14:textId="77777777" w:rsidR="00ED13FE" w:rsidRPr="00ED13FE" w:rsidRDefault="00ED13FE" w:rsidP="00ED13FE">
            <w:pPr>
              <w:jc w:val="left"/>
              <w:rPr>
                <w:b/>
                <w:bCs/>
              </w:rPr>
            </w:pPr>
            <w:r w:rsidRPr="00ED13FE">
              <w:rPr>
                <w:b/>
                <w:bCs/>
              </w:rPr>
              <w:t>PDP</w:t>
            </w:r>
          </w:p>
        </w:tc>
        <w:tc>
          <w:tcPr>
            <w:tcW w:w="7887" w:type="dxa"/>
            <w:noWrap/>
            <w:vAlign w:val="center"/>
            <w:hideMark/>
          </w:tcPr>
          <w:p w14:paraId="241A7A8D" w14:textId="77777777" w:rsidR="00ED13FE" w:rsidRPr="00ED13FE" w:rsidRDefault="00ED13FE" w:rsidP="0009153D">
            <w:pPr>
              <w:jc w:val="left"/>
            </w:pPr>
            <w:r w:rsidRPr="00ED13FE">
              <w:t>Pre-defined Project</w:t>
            </w:r>
          </w:p>
        </w:tc>
      </w:tr>
      <w:tr w:rsidR="00ED13FE" w:rsidRPr="00ED13FE" w14:paraId="4470AAFF" w14:textId="77777777" w:rsidTr="00ED13FE">
        <w:trPr>
          <w:trHeight w:hRule="exact" w:val="397"/>
        </w:trPr>
        <w:tc>
          <w:tcPr>
            <w:tcW w:w="1129" w:type="dxa"/>
            <w:noWrap/>
            <w:vAlign w:val="center"/>
            <w:hideMark/>
          </w:tcPr>
          <w:p w14:paraId="67FBE4BB" w14:textId="77777777" w:rsidR="00ED13FE" w:rsidRPr="00ED13FE" w:rsidRDefault="00ED13FE" w:rsidP="00ED13FE">
            <w:pPr>
              <w:jc w:val="left"/>
              <w:rPr>
                <w:b/>
                <w:bCs/>
              </w:rPr>
            </w:pPr>
            <w:r w:rsidRPr="00ED13FE">
              <w:rPr>
                <w:b/>
                <w:bCs/>
              </w:rPr>
              <w:t>PIA</w:t>
            </w:r>
          </w:p>
        </w:tc>
        <w:tc>
          <w:tcPr>
            <w:tcW w:w="7887" w:type="dxa"/>
            <w:noWrap/>
            <w:vAlign w:val="center"/>
            <w:hideMark/>
          </w:tcPr>
          <w:p w14:paraId="4582C29C" w14:textId="77777777" w:rsidR="00ED13FE" w:rsidRPr="00ED13FE" w:rsidRDefault="00ED13FE" w:rsidP="0009153D">
            <w:pPr>
              <w:jc w:val="left"/>
            </w:pPr>
            <w:r w:rsidRPr="00ED13FE">
              <w:t>Programme Implementation Agreement</w:t>
            </w:r>
          </w:p>
        </w:tc>
      </w:tr>
      <w:tr w:rsidR="00ED13FE" w:rsidRPr="00ED13FE" w14:paraId="02845069" w14:textId="77777777" w:rsidTr="00ED13FE">
        <w:trPr>
          <w:trHeight w:hRule="exact" w:val="397"/>
        </w:trPr>
        <w:tc>
          <w:tcPr>
            <w:tcW w:w="1129" w:type="dxa"/>
            <w:noWrap/>
            <w:vAlign w:val="center"/>
            <w:hideMark/>
          </w:tcPr>
          <w:p w14:paraId="315CC7B0" w14:textId="77777777" w:rsidR="00ED13FE" w:rsidRPr="00ED13FE" w:rsidRDefault="00ED13FE" w:rsidP="00ED13FE">
            <w:pPr>
              <w:jc w:val="left"/>
              <w:rPr>
                <w:b/>
                <w:bCs/>
              </w:rPr>
            </w:pPr>
            <w:r w:rsidRPr="00ED13FE">
              <w:rPr>
                <w:b/>
                <w:bCs/>
              </w:rPr>
              <w:t>PLN</w:t>
            </w:r>
          </w:p>
        </w:tc>
        <w:tc>
          <w:tcPr>
            <w:tcW w:w="7887" w:type="dxa"/>
            <w:noWrap/>
            <w:vAlign w:val="center"/>
            <w:hideMark/>
          </w:tcPr>
          <w:p w14:paraId="4F65769D" w14:textId="77777777" w:rsidR="00ED13FE" w:rsidRPr="00ED13FE" w:rsidRDefault="00ED13FE" w:rsidP="0009153D">
            <w:pPr>
              <w:jc w:val="left"/>
            </w:pPr>
            <w:r w:rsidRPr="00ED13FE">
              <w:t>Polish Zloty</w:t>
            </w:r>
          </w:p>
        </w:tc>
      </w:tr>
      <w:tr w:rsidR="00ED13FE" w:rsidRPr="00ED13FE" w14:paraId="0A42DC6E" w14:textId="77777777" w:rsidTr="00ED13FE">
        <w:trPr>
          <w:trHeight w:hRule="exact" w:val="397"/>
        </w:trPr>
        <w:tc>
          <w:tcPr>
            <w:tcW w:w="1129" w:type="dxa"/>
            <w:noWrap/>
            <w:vAlign w:val="center"/>
            <w:hideMark/>
          </w:tcPr>
          <w:p w14:paraId="290D8AC9" w14:textId="77777777" w:rsidR="00ED13FE" w:rsidRPr="00ED13FE" w:rsidRDefault="00ED13FE" w:rsidP="00ED13FE">
            <w:pPr>
              <w:jc w:val="left"/>
              <w:rPr>
                <w:b/>
                <w:bCs/>
              </w:rPr>
            </w:pPr>
            <w:r w:rsidRPr="00ED13FE">
              <w:rPr>
                <w:b/>
                <w:bCs/>
              </w:rPr>
              <w:t>PO</w:t>
            </w:r>
          </w:p>
        </w:tc>
        <w:tc>
          <w:tcPr>
            <w:tcW w:w="7887" w:type="dxa"/>
            <w:noWrap/>
            <w:vAlign w:val="center"/>
            <w:hideMark/>
          </w:tcPr>
          <w:p w14:paraId="0792152C" w14:textId="77777777" w:rsidR="00ED13FE" w:rsidRPr="00ED13FE" w:rsidRDefault="00ED13FE" w:rsidP="0009153D">
            <w:pPr>
              <w:jc w:val="left"/>
            </w:pPr>
            <w:r w:rsidRPr="00ED13FE">
              <w:t>Programme Operator</w:t>
            </w:r>
          </w:p>
        </w:tc>
      </w:tr>
      <w:tr w:rsidR="00ED13FE" w:rsidRPr="00ED13FE" w14:paraId="7DAEFE82" w14:textId="77777777" w:rsidTr="00ED13FE">
        <w:trPr>
          <w:trHeight w:hRule="exact" w:val="397"/>
        </w:trPr>
        <w:tc>
          <w:tcPr>
            <w:tcW w:w="1129" w:type="dxa"/>
            <w:noWrap/>
            <w:vAlign w:val="center"/>
            <w:hideMark/>
          </w:tcPr>
          <w:p w14:paraId="420F1837" w14:textId="77777777" w:rsidR="00ED13FE" w:rsidRPr="00ED13FE" w:rsidRDefault="00ED13FE" w:rsidP="00ED13FE">
            <w:pPr>
              <w:jc w:val="left"/>
              <w:rPr>
                <w:b/>
                <w:bCs/>
              </w:rPr>
            </w:pPr>
            <w:r w:rsidRPr="00ED13FE">
              <w:rPr>
                <w:b/>
                <w:bCs/>
              </w:rPr>
              <w:t>PP</w:t>
            </w:r>
          </w:p>
        </w:tc>
        <w:tc>
          <w:tcPr>
            <w:tcW w:w="7887" w:type="dxa"/>
            <w:noWrap/>
            <w:vAlign w:val="center"/>
            <w:hideMark/>
          </w:tcPr>
          <w:p w14:paraId="5820CEEB" w14:textId="77777777" w:rsidR="00ED13FE" w:rsidRPr="00ED13FE" w:rsidRDefault="00ED13FE" w:rsidP="0009153D">
            <w:pPr>
              <w:jc w:val="left"/>
            </w:pPr>
            <w:r w:rsidRPr="00ED13FE">
              <w:t>Project Promoter</w:t>
            </w:r>
          </w:p>
        </w:tc>
      </w:tr>
      <w:tr w:rsidR="00ED13FE" w:rsidRPr="00ED13FE" w14:paraId="0A743E97" w14:textId="77777777" w:rsidTr="00ED13FE">
        <w:trPr>
          <w:trHeight w:hRule="exact" w:val="397"/>
        </w:trPr>
        <w:tc>
          <w:tcPr>
            <w:tcW w:w="1129" w:type="dxa"/>
            <w:noWrap/>
            <w:vAlign w:val="center"/>
            <w:hideMark/>
          </w:tcPr>
          <w:p w14:paraId="3D66CC12" w14:textId="77777777" w:rsidR="00ED13FE" w:rsidRPr="00ED13FE" w:rsidRDefault="00ED13FE" w:rsidP="00ED13FE">
            <w:pPr>
              <w:jc w:val="left"/>
              <w:rPr>
                <w:b/>
                <w:bCs/>
              </w:rPr>
            </w:pPr>
            <w:r w:rsidRPr="00ED13FE">
              <w:rPr>
                <w:b/>
                <w:bCs/>
              </w:rPr>
              <w:t>TA</w:t>
            </w:r>
          </w:p>
        </w:tc>
        <w:tc>
          <w:tcPr>
            <w:tcW w:w="7887" w:type="dxa"/>
            <w:noWrap/>
            <w:vAlign w:val="center"/>
            <w:hideMark/>
          </w:tcPr>
          <w:p w14:paraId="2BAF9858" w14:textId="77777777" w:rsidR="00ED13FE" w:rsidRPr="00ED13FE" w:rsidRDefault="00ED13FE" w:rsidP="0009153D">
            <w:pPr>
              <w:jc w:val="left"/>
            </w:pPr>
            <w:r w:rsidRPr="00ED13FE">
              <w:t>Technical Assistance</w:t>
            </w:r>
          </w:p>
        </w:tc>
      </w:tr>
      <w:tr w:rsidR="00ED13FE" w:rsidRPr="00ED13FE" w14:paraId="41A7C3ED" w14:textId="77777777" w:rsidTr="00ED13FE">
        <w:trPr>
          <w:trHeight w:hRule="exact" w:val="397"/>
        </w:trPr>
        <w:tc>
          <w:tcPr>
            <w:tcW w:w="1129" w:type="dxa"/>
            <w:noWrap/>
            <w:vAlign w:val="center"/>
            <w:hideMark/>
          </w:tcPr>
          <w:p w14:paraId="2891D96F" w14:textId="77777777" w:rsidR="00ED13FE" w:rsidRPr="00ED13FE" w:rsidRDefault="00ED13FE" w:rsidP="00ED13FE">
            <w:pPr>
              <w:jc w:val="left"/>
              <w:rPr>
                <w:b/>
                <w:bCs/>
              </w:rPr>
            </w:pPr>
            <w:r w:rsidRPr="00ED13FE">
              <w:rPr>
                <w:b/>
                <w:bCs/>
              </w:rPr>
              <w:t>TER</w:t>
            </w:r>
          </w:p>
        </w:tc>
        <w:tc>
          <w:tcPr>
            <w:tcW w:w="7887" w:type="dxa"/>
            <w:noWrap/>
            <w:vAlign w:val="center"/>
            <w:hideMark/>
          </w:tcPr>
          <w:p w14:paraId="7E4F4219" w14:textId="77777777" w:rsidR="00ED13FE" w:rsidRPr="00ED13FE" w:rsidRDefault="00ED13FE" w:rsidP="0009153D">
            <w:pPr>
              <w:jc w:val="left"/>
            </w:pPr>
            <w:r w:rsidRPr="00ED13FE">
              <w:t>Total Error Rate</w:t>
            </w:r>
          </w:p>
        </w:tc>
      </w:tr>
      <w:tr w:rsidR="00ED13FE" w:rsidRPr="00ED13FE" w14:paraId="0CFAC8B6" w14:textId="77777777" w:rsidTr="00ED13FE">
        <w:trPr>
          <w:trHeight w:hRule="exact" w:val="397"/>
        </w:trPr>
        <w:tc>
          <w:tcPr>
            <w:tcW w:w="1129" w:type="dxa"/>
            <w:noWrap/>
            <w:vAlign w:val="center"/>
            <w:hideMark/>
          </w:tcPr>
          <w:p w14:paraId="5C1424E7" w14:textId="77777777" w:rsidR="00ED13FE" w:rsidRPr="00ED13FE" w:rsidRDefault="00ED13FE" w:rsidP="00ED13FE">
            <w:pPr>
              <w:jc w:val="left"/>
              <w:rPr>
                <w:b/>
                <w:bCs/>
              </w:rPr>
            </w:pPr>
            <w:r w:rsidRPr="00ED13FE">
              <w:rPr>
                <w:b/>
                <w:bCs/>
              </w:rPr>
              <w:t>VAT</w:t>
            </w:r>
          </w:p>
        </w:tc>
        <w:tc>
          <w:tcPr>
            <w:tcW w:w="7887" w:type="dxa"/>
            <w:noWrap/>
            <w:vAlign w:val="center"/>
            <w:hideMark/>
          </w:tcPr>
          <w:p w14:paraId="0BD8888A" w14:textId="77777777" w:rsidR="00ED13FE" w:rsidRPr="00ED13FE" w:rsidRDefault="00ED13FE" w:rsidP="0009153D">
            <w:pPr>
              <w:jc w:val="left"/>
            </w:pPr>
            <w:r w:rsidRPr="00ED13FE">
              <w:t>Value-added Tax</w:t>
            </w:r>
          </w:p>
        </w:tc>
      </w:tr>
    </w:tbl>
    <w:p w14:paraId="79AC0DAB" w14:textId="4F558951" w:rsidR="00ED13FE" w:rsidRDefault="00ED13FE">
      <w:pPr>
        <w:spacing w:before="0" w:after="160"/>
        <w:jc w:val="left"/>
      </w:pPr>
    </w:p>
    <w:p w14:paraId="58954936" w14:textId="77777777" w:rsidR="004176FC" w:rsidRPr="009B7F14" w:rsidRDefault="004176FC" w:rsidP="00177429">
      <w:pPr>
        <w:pStyle w:val="Heading1"/>
      </w:pPr>
      <w:bookmarkStart w:id="0" w:name="_Toc484174828"/>
      <w:r w:rsidRPr="009B7F14">
        <w:t>Introduction</w:t>
      </w:r>
      <w:bookmarkEnd w:id="0"/>
    </w:p>
    <w:p w14:paraId="722692A0" w14:textId="77777777" w:rsidR="00B67ACE" w:rsidRPr="009B7F14" w:rsidRDefault="00B67ACE" w:rsidP="00B67ACE">
      <w:pPr>
        <w:rPr>
          <w:lang w:eastAsia="fr-FR"/>
        </w:rPr>
      </w:pPr>
      <w:r w:rsidRPr="009B7F14">
        <w:rPr>
          <w:lang w:eastAsia="fr-FR"/>
        </w:rPr>
        <w:t>This document has been developed by the Financial Mechanism Office (FMO) and is intended as a guidance in financial management and reporting related to the EEA and Norwegian Financial Mechanisms 2014-2021 (FMs).</w:t>
      </w:r>
    </w:p>
    <w:p w14:paraId="4CD4078C" w14:textId="77777777" w:rsidR="00B67ACE" w:rsidRPr="009B7F14" w:rsidRDefault="00B67ACE" w:rsidP="00B67ACE">
      <w:pPr>
        <w:rPr>
          <w:lang w:eastAsia="fr-FR"/>
        </w:rPr>
      </w:pPr>
      <w:r w:rsidRPr="009B7F14">
        <w:rPr>
          <w:lang w:eastAsia="fr-FR"/>
        </w:rPr>
        <w:t xml:space="preserve">Its target audience is the National Focal Points (NFPs), Programme Operators (POs), Donor Programme Partners (DPPs), Certifying Authorities (CAs), Audit Authorities (AAs) and Project Promoters (PPs) and partners.                                                                            </w:t>
      </w:r>
    </w:p>
    <w:p w14:paraId="7D3276C6" w14:textId="77777777" w:rsidR="00B11E25" w:rsidRPr="009B7F14" w:rsidRDefault="00B67ACE" w:rsidP="00B67ACE">
      <w:pPr>
        <w:rPr>
          <w:lang w:eastAsia="fr-FR"/>
        </w:rPr>
      </w:pPr>
      <w:r w:rsidRPr="009B7F14">
        <w:rPr>
          <w:lang w:eastAsia="fr-FR"/>
        </w:rPr>
        <w:t xml:space="preserve">Questions related to the document and its content can be addressed to the Finance </w:t>
      </w:r>
      <w:r w:rsidR="00236C8F" w:rsidRPr="009B7F14">
        <w:rPr>
          <w:lang w:eastAsia="fr-FR"/>
        </w:rPr>
        <w:t>unit</w:t>
      </w:r>
      <w:r w:rsidRPr="009B7F14">
        <w:rPr>
          <w:lang w:eastAsia="fr-FR"/>
        </w:rPr>
        <w:t xml:space="preserve"> at the FMO.</w:t>
      </w:r>
    </w:p>
    <w:p w14:paraId="14037FDF" w14:textId="77777777" w:rsidR="00B11E25" w:rsidRPr="009B7F14" w:rsidRDefault="00B11E25" w:rsidP="00B67ACE">
      <w:pPr>
        <w:rPr>
          <w:lang w:eastAsia="fr-FR"/>
        </w:rPr>
      </w:pPr>
    </w:p>
    <w:p w14:paraId="654D3DE4" w14:textId="77777777" w:rsidR="00B11E25" w:rsidRPr="009B7F14" w:rsidRDefault="00B11E25" w:rsidP="00B67ACE">
      <w:pPr>
        <w:rPr>
          <w:lang w:eastAsia="fr-FR"/>
        </w:rPr>
      </w:pPr>
    </w:p>
    <w:p w14:paraId="5F4C304A" w14:textId="77777777" w:rsidR="00B11E25" w:rsidRPr="009B7F14" w:rsidRDefault="00B11E25" w:rsidP="00B67ACE">
      <w:pPr>
        <w:rPr>
          <w:lang w:eastAsia="fr-FR"/>
        </w:rPr>
      </w:pPr>
    </w:p>
    <w:p w14:paraId="08E56645" w14:textId="77777777" w:rsidR="00B11E25" w:rsidRPr="009B7F14" w:rsidRDefault="00B11E25" w:rsidP="00B67ACE">
      <w:pPr>
        <w:rPr>
          <w:lang w:eastAsia="fr-FR"/>
        </w:rPr>
      </w:pPr>
    </w:p>
    <w:p w14:paraId="6391214F" w14:textId="77777777" w:rsidR="00B11E25" w:rsidRPr="009B7F14" w:rsidRDefault="00B11E25" w:rsidP="00B67ACE">
      <w:pPr>
        <w:rPr>
          <w:lang w:eastAsia="fr-FR"/>
        </w:rPr>
      </w:pPr>
    </w:p>
    <w:p w14:paraId="51B7AF09" w14:textId="77777777" w:rsidR="00B11E25" w:rsidRPr="009B7F14" w:rsidRDefault="00B11E25" w:rsidP="00B67ACE">
      <w:pPr>
        <w:rPr>
          <w:lang w:eastAsia="fr-FR"/>
        </w:rPr>
      </w:pPr>
    </w:p>
    <w:p w14:paraId="0EC2D639" w14:textId="77777777" w:rsidR="00B11E25" w:rsidRPr="009B7F14" w:rsidRDefault="00B11E25" w:rsidP="00B67ACE">
      <w:pPr>
        <w:rPr>
          <w:lang w:eastAsia="fr-FR"/>
        </w:rPr>
      </w:pPr>
    </w:p>
    <w:p w14:paraId="63A0F609" w14:textId="77777777" w:rsidR="00B11E25" w:rsidRPr="009B7F14" w:rsidRDefault="00B11E25" w:rsidP="00B67ACE">
      <w:pPr>
        <w:rPr>
          <w:lang w:eastAsia="fr-FR"/>
        </w:rPr>
      </w:pPr>
    </w:p>
    <w:p w14:paraId="310BB35A" w14:textId="77777777" w:rsidR="00B11E25" w:rsidRPr="009B7F14" w:rsidRDefault="00B11E25" w:rsidP="00B67ACE">
      <w:pPr>
        <w:rPr>
          <w:lang w:eastAsia="fr-FR"/>
        </w:rPr>
      </w:pPr>
    </w:p>
    <w:p w14:paraId="28EC55BE" w14:textId="77777777" w:rsidR="00B11E25" w:rsidRPr="009B7F14" w:rsidRDefault="00B11E25" w:rsidP="00B67ACE">
      <w:pPr>
        <w:rPr>
          <w:lang w:eastAsia="fr-FR"/>
        </w:rPr>
      </w:pPr>
    </w:p>
    <w:p w14:paraId="0DA22FE5" w14:textId="77777777" w:rsidR="00B11E25" w:rsidRPr="009B7F14" w:rsidRDefault="00B11E25" w:rsidP="00B67ACE">
      <w:pPr>
        <w:rPr>
          <w:lang w:eastAsia="fr-FR"/>
        </w:rPr>
      </w:pPr>
    </w:p>
    <w:p w14:paraId="22141DD0" w14:textId="77777777" w:rsidR="00B11E25" w:rsidRPr="009B7F14" w:rsidRDefault="00B11E25" w:rsidP="00B67ACE">
      <w:pPr>
        <w:rPr>
          <w:lang w:eastAsia="fr-FR"/>
        </w:rPr>
      </w:pPr>
    </w:p>
    <w:p w14:paraId="78C8822F" w14:textId="77777777" w:rsidR="00B11E25" w:rsidRPr="009B7F14" w:rsidRDefault="00B11E25" w:rsidP="00B67ACE">
      <w:pPr>
        <w:rPr>
          <w:lang w:eastAsia="fr-FR"/>
        </w:rPr>
      </w:pPr>
    </w:p>
    <w:p w14:paraId="3F374C2C" w14:textId="77777777" w:rsidR="00B11E25" w:rsidRPr="009B7F14" w:rsidRDefault="00B11E25" w:rsidP="00B67ACE">
      <w:pPr>
        <w:rPr>
          <w:lang w:eastAsia="fr-FR"/>
        </w:rPr>
      </w:pPr>
    </w:p>
    <w:p w14:paraId="4771FAA4" w14:textId="77777777" w:rsidR="00B11E25" w:rsidRPr="009B7F14" w:rsidRDefault="00B11E25" w:rsidP="00B67ACE">
      <w:pPr>
        <w:rPr>
          <w:lang w:eastAsia="fr-FR"/>
        </w:rPr>
      </w:pPr>
    </w:p>
    <w:p w14:paraId="7AA94A6E" w14:textId="77777777" w:rsidR="00B11E25" w:rsidRPr="009B7F14" w:rsidRDefault="00B11E25" w:rsidP="00B67ACE">
      <w:pPr>
        <w:rPr>
          <w:lang w:eastAsia="fr-FR"/>
        </w:rPr>
      </w:pPr>
    </w:p>
    <w:p w14:paraId="4B994A88" w14:textId="77777777" w:rsidR="00B11E25" w:rsidRPr="009B7F14" w:rsidRDefault="00B11E25" w:rsidP="00B67ACE">
      <w:pPr>
        <w:rPr>
          <w:lang w:eastAsia="fr-FR"/>
        </w:rPr>
      </w:pPr>
    </w:p>
    <w:p w14:paraId="52CD24E3" w14:textId="77777777" w:rsidR="00B11E25" w:rsidRPr="009B7F14" w:rsidRDefault="00B11E25" w:rsidP="00B67ACE">
      <w:pPr>
        <w:rPr>
          <w:rStyle w:val="IntenseReference"/>
          <w:b w:val="0"/>
          <w:bCs w:val="0"/>
          <w:smallCaps w:val="0"/>
          <w:color w:val="auto"/>
          <w:spacing w:val="0"/>
          <w:lang w:eastAsia="fr-FR"/>
        </w:rPr>
      </w:pPr>
      <w:r w:rsidRPr="009B7F14">
        <w:rPr>
          <w:b/>
          <w:lang w:eastAsia="fr-FR"/>
        </w:rPr>
        <w:t>Disclaimer</w:t>
      </w:r>
    </w:p>
    <w:p w14:paraId="230CFE5F" w14:textId="77777777" w:rsidR="00B11E25" w:rsidRPr="009B7F14" w:rsidRDefault="00B11E25" w:rsidP="00B11E25">
      <w:pPr>
        <w:rPr>
          <w:lang w:eastAsia="fr-FR"/>
        </w:rPr>
      </w:pPr>
      <w:r w:rsidRPr="009B7F14">
        <w:rPr>
          <w:lang w:eastAsia="fr-FR"/>
        </w:rPr>
        <w:t xml:space="preserve">This guidance document is aimed at assisting </w:t>
      </w:r>
      <w:r w:rsidR="00236C8F" w:rsidRPr="009B7F14">
        <w:rPr>
          <w:lang w:eastAsia="fr-FR"/>
        </w:rPr>
        <w:t xml:space="preserve">national authorities, </w:t>
      </w:r>
      <w:r w:rsidR="002F619E" w:rsidRPr="009B7F14">
        <w:rPr>
          <w:lang w:eastAsia="fr-FR"/>
        </w:rPr>
        <w:t>programme operators, project promoters, project partners</w:t>
      </w:r>
      <w:r w:rsidRPr="009B7F14">
        <w:rPr>
          <w:lang w:eastAsia="fr-FR"/>
        </w:rPr>
        <w:t xml:space="preserve"> and auditors. It is provided for information purposes only and its contents are not intended to replace consultation of </w:t>
      </w:r>
      <w:r w:rsidR="004402FB" w:rsidRPr="009B7F14">
        <w:rPr>
          <w:lang w:eastAsia="fr-FR"/>
        </w:rPr>
        <w:t xml:space="preserve">the </w:t>
      </w:r>
      <w:r w:rsidRPr="009B7F14">
        <w:rPr>
          <w:lang w:eastAsia="fr-FR"/>
        </w:rPr>
        <w:t xml:space="preserve">applicable legal </w:t>
      </w:r>
      <w:r w:rsidR="004402FB" w:rsidRPr="009B7F14">
        <w:rPr>
          <w:lang w:eastAsia="fr-FR"/>
        </w:rPr>
        <w:t xml:space="preserve">framework </w:t>
      </w:r>
      <w:r w:rsidRPr="009B7F14">
        <w:rPr>
          <w:lang w:eastAsia="fr-FR"/>
        </w:rPr>
        <w:t xml:space="preserve">or the necessary advice of a legal expert, where appropriate. Neither the </w:t>
      </w:r>
      <w:r w:rsidR="000E1235" w:rsidRPr="009B7F14">
        <w:rPr>
          <w:lang w:eastAsia="fr-FR"/>
        </w:rPr>
        <w:t>Donors</w:t>
      </w:r>
      <w:r w:rsidRPr="009B7F14">
        <w:rPr>
          <w:lang w:eastAsia="fr-FR"/>
        </w:rPr>
        <w:t>, the Financial Mechanism Office nor any person acting on their behalf can be held responsible for the use made of these guidance notes.</w:t>
      </w:r>
    </w:p>
    <w:p w14:paraId="44873730" w14:textId="77777777" w:rsidR="00B11E25" w:rsidRPr="009B7F14" w:rsidRDefault="00B11E25" w:rsidP="00B11E25">
      <w:pPr>
        <w:rPr>
          <w:lang w:eastAsia="fr-FR"/>
        </w:rPr>
      </w:pPr>
      <w:r w:rsidRPr="009B7F14">
        <w:rPr>
          <w:lang w:eastAsia="fr-FR"/>
        </w:rPr>
        <w:t>For legal purposes, reference is made to the Regulations on the implementation of the European Economic Area (EEA) Financial Mechanism and of the Norwegian Financial Mechanism 2014-2021 (the Regulations).</w:t>
      </w:r>
    </w:p>
    <w:p w14:paraId="125CFA84" w14:textId="77777777" w:rsidR="004402FB" w:rsidRPr="009B7F14" w:rsidRDefault="004402FB" w:rsidP="00B11E25">
      <w:pPr>
        <w:rPr>
          <w:lang w:eastAsia="fr-FR"/>
        </w:rPr>
      </w:pPr>
      <w:r w:rsidRPr="009B7F14">
        <w:rPr>
          <w:lang w:eastAsia="fr-FR"/>
        </w:rPr>
        <w:t>This document will be updated to reflect modifications to the legal framework. In case of any inconsistency, the provisions of the latter shall apply.</w:t>
      </w:r>
    </w:p>
    <w:p w14:paraId="140357C6" w14:textId="77777777" w:rsidR="0059142C" w:rsidRPr="009B7F14" w:rsidRDefault="00EA0104" w:rsidP="00177429">
      <w:pPr>
        <w:pStyle w:val="Heading1"/>
      </w:pPr>
      <w:bookmarkStart w:id="1" w:name="_Ref462300108"/>
      <w:bookmarkStart w:id="2" w:name="_Ref462300501"/>
      <w:bookmarkStart w:id="3" w:name="_Ref462300546"/>
      <w:bookmarkStart w:id="4" w:name="_Ref462302191"/>
      <w:bookmarkStart w:id="5" w:name="_Toc484174829"/>
      <w:r w:rsidRPr="009B7F14">
        <w:t>Preparation/planning phase</w:t>
      </w:r>
      <w:bookmarkEnd w:id="1"/>
      <w:bookmarkEnd w:id="2"/>
      <w:bookmarkEnd w:id="3"/>
      <w:bookmarkEnd w:id="4"/>
      <w:bookmarkEnd w:id="5"/>
    </w:p>
    <w:p w14:paraId="5F4AF4C9" w14:textId="77777777" w:rsidR="00EA0104" w:rsidRPr="009B7F14" w:rsidRDefault="00EA0104" w:rsidP="00920571">
      <w:pPr>
        <w:pStyle w:val="Heading2"/>
      </w:pPr>
      <w:bookmarkStart w:id="6" w:name="_Ref462300548"/>
      <w:bookmarkStart w:id="7" w:name="_Toc484174830"/>
      <w:r w:rsidRPr="009B7F14">
        <w:t xml:space="preserve">Information needed </w:t>
      </w:r>
      <w:r w:rsidR="00E244D7" w:rsidRPr="009B7F14">
        <w:t xml:space="preserve">before the conclusion of the </w:t>
      </w:r>
      <w:r w:rsidRPr="009B7F14">
        <w:t>P</w:t>
      </w:r>
      <w:r w:rsidR="00E244D7" w:rsidRPr="009B7F14">
        <w:t xml:space="preserve">rogramme </w:t>
      </w:r>
      <w:r w:rsidRPr="009B7F14">
        <w:t>A</w:t>
      </w:r>
      <w:r w:rsidR="00E244D7" w:rsidRPr="009B7F14">
        <w:t>greement</w:t>
      </w:r>
      <w:bookmarkEnd w:id="6"/>
      <w:bookmarkEnd w:id="7"/>
      <w:r w:rsidRPr="009B7F14">
        <w:t xml:space="preserve"> </w:t>
      </w:r>
    </w:p>
    <w:p w14:paraId="599DA327" w14:textId="77777777" w:rsidR="00681CEA" w:rsidRPr="009B7F14" w:rsidRDefault="00681CEA" w:rsidP="00376576">
      <w:r w:rsidRPr="009B7F14">
        <w:t xml:space="preserve">Programmes to be implemented in the </w:t>
      </w:r>
      <w:r w:rsidR="00181D99" w:rsidRPr="009B7F14">
        <w:t xml:space="preserve">respective </w:t>
      </w:r>
      <w:r w:rsidR="00C2171B" w:rsidRPr="009B7F14">
        <w:t>B</w:t>
      </w:r>
      <w:r w:rsidRPr="009B7F14">
        <w:t xml:space="preserve">eneficiary </w:t>
      </w:r>
      <w:r w:rsidR="00C2171B" w:rsidRPr="009B7F14">
        <w:t>S</w:t>
      </w:r>
      <w:r w:rsidRPr="009B7F14">
        <w:t xml:space="preserve">tates </w:t>
      </w:r>
      <w:r w:rsidR="00181D99" w:rsidRPr="009B7F14">
        <w:t>are</w:t>
      </w:r>
      <w:r w:rsidRPr="009B7F14">
        <w:t xml:space="preserve"> </w:t>
      </w:r>
      <w:r w:rsidR="00971EE2" w:rsidRPr="009B7F14">
        <w:t>a</w:t>
      </w:r>
      <w:r w:rsidR="00926A74" w:rsidRPr="009B7F14">
        <w:t xml:space="preserve">greed </w:t>
      </w:r>
      <w:r w:rsidR="00181D99" w:rsidRPr="009B7F14">
        <w:t>up</w:t>
      </w:r>
      <w:r w:rsidR="00926A74" w:rsidRPr="009B7F14">
        <w:t xml:space="preserve">on </w:t>
      </w:r>
      <w:r w:rsidRPr="009B7F14">
        <w:t xml:space="preserve">in the individual </w:t>
      </w:r>
      <w:r w:rsidR="00E34576" w:rsidRPr="009B7F14">
        <w:t>Memorand</w:t>
      </w:r>
      <w:r w:rsidR="00E256D3">
        <w:t>um of Understanding (MoU</w:t>
      </w:r>
      <w:r w:rsidR="00E34576" w:rsidRPr="009B7F14">
        <w:t>)</w:t>
      </w:r>
      <w:r w:rsidRPr="009B7F14">
        <w:t xml:space="preserve"> along with the respective grant allocation and the</w:t>
      </w:r>
      <w:r w:rsidR="00181D99" w:rsidRPr="009B7F14">
        <w:t xml:space="preserve"> required programme</w:t>
      </w:r>
      <w:r w:rsidRPr="009B7F14">
        <w:t xml:space="preserve"> co-financing. </w:t>
      </w:r>
    </w:p>
    <w:p w14:paraId="0F88EABC" w14:textId="77777777" w:rsidR="00681CEA" w:rsidRPr="009B7F14" w:rsidRDefault="00DE594B" w:rsidP="00376576">
      <w:r w:rsidRPr="009B7F14">
        <w:t>Each P</w:t>
      </w:r>
      <w:r w:rsidR="00681CEA" w:rsidRPr="009B7F14">
        <w:t xml:space="preserve">rogramme </w:t>
      </w:r>
      <w:r w:rsidRPr="009B7F14">
        <w:t>O</w:t>
      </w:r>
      <w:r w:rsidR="00681CEA" w:rsidRPr="009B7F14">
        <w:t xml:space="preserve">perator (PO) will have to submit a </w:t>
      </w:r>
      <w:r w:rsidR="00926A74" w:rsidRPr="009B7F14">
        <w:t>c</w:t>
      </w:r>
      <w:r w:rsidR="00681CEA" w:rsidRPr="009B7F14">
        <w:t xml:space="preserve">oncept </w:t>
      </w:r>
      <w:r w:rsidR="00926A74" w:rsidRPr="009B7F14">
        <w:t>n</w:t>
      </w:r>
      <w:r w:rsidR="00681CEA" w:rsidRPr="009B7F14">
        <w:t xml:space="preserve">ote for </w:t>
      </w:r>
      <w:r w:rsidR="001762D0" w:rsidRPr="009B7F14">
        <w:t>each</w:t>
      </w:r>
      <w:r w:rsidR="00681CEA" w:rsidRPr="009B7F14">
        <w:t xml:space="preserve"> programme to the </w:t>
      </w:r>
      <w:r w:rsidR="00281423" w:rsidRPr="009B7F14">
        <w:t>FMO</w:t>
      </w:r>
      <w:r w:rsidR="002108B0" w:rsidRPr="009B7F14">
        <w:t xml:space="preserve"> (Reg. Art. 6.2)</w:t>
      </w:r>
      <w:r w:rsidR="00181D99" w:rsidRPr="009B7F14">
        <w:t>.</w:t>
      </w:r>
      <w:r w:rsidR="00AB39F5" w:rsidRPr="009B7F14">
        <w:t xml:space="preserve"> A template for the concept note is provided in Reg. Annex 5.</w:t>
      </w:r>
      <w:r w:rsidR="00181D99" w:rsidRPr="009B7F14">
        <w:t xml:space="preserve"> The concept note will have to </w:t>
      </w:r>
      <w:r w:rsidR="00D31D55" w:rsidRPr="009B7F14">
        <w:t>includ</w:t>
      </w:r>
      <w:r w:rsidR="00181D99" w:rsidRPr="009B7F14">
        <w:t>e</w:t>
      </w:r>
      <w:r w:rsidR="00D31D55" w:rsidRPr="009B7F14">
        <w:t xml:space="preserve"> a high level budget </w:t>
      </w:r>
      <w:r w:rsidR="002D3AAD" w:rsidRPr="009B7F14">
        <w:t>as shown below:</w:t>
      </w:r>
    </w:p>
    <w:p w14:paraId="12A1E06D" w14:textId="77777777" w:rsidR="0049030C" w:rsidRPr="009B7F14" w:rsidRDefault="0049030C" w:rsidP="0049030C">
      <w:pPr>
        <w:pStyle w:val="Caption"/>
      </w:pPr>
      <w:bookmarkStart w:id="8" w:name="_Ref462297798"/>
      <w:bookmarkStart w:id="9" w:name="_Toc467246318"/>
      <w:bookmarkStart w:id="10" w:name="_Toc484174863"/>
      <w:r w:rsidRPr="009B7F14">
        <w:t xml:space="preserve">Table </w:t>
      </w:r>
      <w:r w:rsidR="00DE4338">
        <w:fldChar w:fldCharType="begin"/>
      </w:r>
      <w:r w:rsidR="00DE4338">
        <w:instrText xml:space="preserve"> SEQ Table \* ARABIC </w:instrText>
      </w:r>
      <w:r w:rsidR="00DE4338">
        <w:fldChar w:fldCharType="separate"/>
      </w:r>
      <w:r w:rsidR="00215E29">
        <w:rPr>
          <w:noProof/>
        </w:rPr>
        <w:t>1</w:t>
      </w:r>
      <w:r w:rsidR="00DE4338">
        <w:rPr>
          <w:noProof/>
        </w:rPr>
        <w:fldChar w:fldCharType="end"/>
      </w:r>
      <w:bookmarkEnd w:id="8"/>
      <w:r w:rsidRPr="009B7F14">
        <w:t>: Budget</w:t>
      </w:r>
      <w:bookmarkEnd w:id="9"/>
      <w:bookmarkEnd w:id="10"/>
    </w:p>
    <w:tbl>
      <w:tblPr>
        <w:tblStyle w:val="TableGrid"/>
        <w:tblW w:w="0" w:type="auto"/>
        <w:tblLayout w:type="fixed"/>
        <w:tblLook w:val="04E0" w:firstRow="1" w:lastRow="1" w:firstColumn="1" w:lastColumn="0" w:noHBand="0" w:noVBand="1"/>
      </w:tblPr>
      <w:tblGrid>
        <w:gridCol w:w="561"/>
        <w:gridCol w:w="1271"/>
        <w:gridCol w:w="1413"/>
        <w:gridCol w:w="1412"/>
        <w:gridCol w:w="1413"/>
        <w:gridCol w:w="1412"/>
        <w:gridCol w:w="1503"/>
      </w:tblGrid>
      <w:tr w:rsidR="00885713" w:rsidRPr="009B7F14" w14:paraId="7DA6A9BC" w14:textId="77777777" w:rsidTr="00DE5CA1">
        <w:trPr>
          <w:cnfStyle w:val="100000000000" w:firstRow="1" w:lastRow="0" w:firstColumn="0" w:lastColumn="0" w:oddVBand="0" w:evenVBand="0" w:oddHBand="0" w:evenHBand="0" w:firstRowFirstColumn="0" w:firstRowLastColumn="0" w:lastRowFirstColumn="0" w:lastRowLastColumn="0"/>
          <w:trHeight w:val="510"/>
        </w:trPr>
        <w:tc>
          <w:tcPr>
            <w:tcW w:w="561" w:type="dxa"/>
            <w:vAlign w:val="center"/>
            <w:hideMark/>
          </w:tcPr>
          <w:p w14:paraId="672B7CED" w14:textId="77777777" w:rsidR="00026095" w:rsidRPr="009B7F14" w:rsidRDefault="00026095" w:rsidP="00A12266">
            <w:pPr>
              <w:spacing w:line="276" w:lineRule="auto"/>
              <w:jc w:val="center"/>
              <w:rPr>
                <w:sz w:val="16"/>
                <w:lang w:eastAsia="en-GB"/>
              </w:rPr>
            </w:pPr>
            <w:r w:rsidRPr="009B7F14">
              <w:rPr>
                <w:sz w:val="16"/>
                <w:lang w:eastAsia="en-GB"/>
              </w:rPr>
              <w:t>PA</w:t>
            </w:r>
          </w:p>
        </w:tc>
        <w:tc>
          <w:tcPr>
            <w:tcW w:w="1271" w:type="dxa"/>
            <w:vAlign w:val="center"/>
            <w:hideMark/>
          </w:tcPr>
          <w:p w14:paraId="0A648D4E" w14:textId="77777777" w:rsidR="00026095" w:rsidRPr="009B7F14" w:rsidRDefault="00026095" w:rsidP="00A12266">
            <w:pPr>
              <w:spacing w:line="276" w:lineRule="auto"/>
              <w:jc w:val="center"/>
              <w:rPr>
                <w:sz w:val="16"/>
                <w:lang w:eastAsia="en-GB"/>
              </w:rPr>
            </w:pPr>
            <w:r w:rsidRPr="009B7F14">
              <w:rPr>
                <w:sz w:val="16"/>
                <w:lang w:eastAsia="en-GB"/>
              </w:rPr>
              <w:t>Budget heading</w:t>
            </w:r>
          </w:p>
        </w:tc>
        <w:tc>
          <w:tcPr>
            <w:tcW w:w="1413" w:type="dxa"/>
            <w:vAlign w:val="center"/>
            <w:hideMark/>
          </w:tcPr>
          <w:p w14:paraId="4E8DB0D1" w14:textId="77777777" w:rsidR="00026095" w:rsidRPr="009B7F14" w:rsidRDefault="00026095" w:rsidP="00A12266">
            <w:pPr>
              <w:spacing w:line="276" w:lineRule="auto"/>
              <w:jc w:val="center"/>
              <w:rPr>
                <w:sz w:val="16"/>
                <w:lang w:eastAsia="en-GB"/>
              </w:rPr>
            </w:pPr>
            <w:r w:rsidRPr="009B7F14">
              <w:rPr>
                <w:sz w:val="16"/>
                <w:lang w:eastAsia="en-GB"/>
              </w:rPr>
              <w:t>EEA Grants</w:t>
            </w:r>
          </w:p>
        </w:tc>
        <w:tc>
          <w:tcPr>
            <w:tcW w:w="1412" w:type="dxa"/>
            <w:vAlign w:val="center"/>
            <w:hideMark/>
          </w:tcPr>
          <w:p w14:paraId="2CC526B5" w14:textId="77777777" w:rsidR="00026095" w:rsidRPr="009B7F14" w:rsidRDefault="00026095" w:rsidP="00A12266">
            <w:pPr>
              <w:spacing w:line="276" w:lineRule="auto"/>
              <w:jc w:val="center"/>
              <w:rPr>
                <w:sz w:val="16"/>
                <w:lang w:eastAsia="en-GB"/>
              </w:rPr>
            </w:pPr>
            <w:r w:rsidRPr="009B7F14">
              <w:rPr>
                <w:sz w:val="16"/>
                <w:lang w:eastAsia="en-GB"/>
              </w:rPr>
              <w:t>Norway Grants</w:t>
            </w:r>
          </w:p>
        </w:tc>
        <w:tc>
          <w:tcPr>
            <w:tcW w:w="1413" w:type="dxa"/>
            <w:vAlign w:val="center"/>
            <w:hideMark/>
          </w:tcPr>
          <w:p w14:paraId="226AACFF" w14:textId="77777777" w:rsidR="00026095" w:rsidRPr="009B7F14" w:rsidRDefault="00026095" w:rsidP="00A12266">
            <w:pPr>
              <w:spacing w:line="276" w:lineRule="auto"/>
              <w:jc w:val="center"/>
              <w:rPr>
                <w:sz w:val="16"/>
                <w:lang w:eastAsia="en-GB"/>
              </w:rPr>
            </w:pPr>
            <w:r w:rsidRPr="009B7F14">
              <w:rPr>
                <w:sz w:val="16"/>
                <w:lang w:eastAsia="en-GB"/>
              </w:rPr>
              <w:t>Total grant</w:t>
            </w:r>
          </w:p>
        </w:tc>
        <w:tc>
          <w:tcPr>
            <w:tcW w:w="1412" w:type="dxa"/>
            <w:vAlign w:val="center"/>
            <w:hideMark/>
          </w:tcPr>
          <w:p w14:paraId="717B71CC" w14:textId="77777777" w:rsidR="00026095" w:rsidRPr="009B7F14" w:rsidRDefault="00026095" w:rsidP="00A12266">
            <w:pPr>
              <w:spacing w:line="276" w:lineRule="auto"/>
              <w:jc w:val="center"/>
              <w:rPr>
                <w:sz w:val="16"/>
                <w:lang w:eastAsia="en-GB"/>
              </w:rPr>
            </w:pPr>
            <w:r w:rsidRPr="009B7F14">
              <w:rPr>
                <w:sz w:val="16"/>
                <w:lang w:eastAsia="en-GB"/>
              </w:rPr>
              <w:t>Programme grant rate</w:t>
            </w:r>
          </w:p>
        </w:tc>
        <w:tc>
          <w:tcPr>
            <w:tcW w:w="1503" w:type="dxa"/>
            <w:noWrap/>
            <w:vAlign w:val="center"/>
            <w:hideMark/>
          </w:tcPr>
          <w:p w14:paraId="27C9A409" w14:textId="77777777" w:rsidR="00026095" w:rsidRPr="009B7F14" w:rsidRDefault="00655317" w:rsidP="00A12266">
            <w:pPr>
              <w:spacing w:line="276" w:lineRule="auto"/>
              <w:jc w:val="center"/>
              <w:rPr>
                <w:sz w:val="16"/>
                <w:lang w:eastAsia="en-GB"/>
              </w:rPr>
            </w:pPr>
            <w:r w:rsidRPr="009B7F14">
              <w:rPr>
                <w:sz w:val="16"/>
                <w:lang w:eastAsia="en-GB"/>
              </w:rPr>
              <w:t xml:space="preserve">Programme </w:t>
            </w:r>
            <w:r w:rsidR="00026095" w:rsidRPr="009B7F14">
              <w:rPr>
                <w:sz w:val="16"/>
                <w:lang w:eastAsia="en-GB"/>
              </w:rPr>
              <w:t>eligible expenditure</w:t>
            </w:r>
          </w:p>
        </w:tc>
      </w:tr>
      <w:tr w:rsidR="00A12266" w:rsidRPr="009B7F14" w14:paraId="3F921FE8" w14:textId="77777777" w:rsidTr="00DE5CA1">
        <w:trPr>
          <w:trHeight w:val="510"/>
        </w:trPr>
        <w:tc>
          <w:tcPr>
            <w:tcW w:w="561" w:type="dxa"/>
            <w:vAlign w:val="center"/>
            <w:hideMark/>
          </w:tcPr>
          <w:p w14:paraId="7DCA8189" w14:textId="77777777" w:rsidR="00026095" w:rsidRPr="009B7F14" w:rsidRDefault="00026095" w:rsidP="00DE5CA1">
            <w:pPr>
              <w:spacing w:before="0" w:after="0" w:line="276" w:lineRule="auto"/>
              <w:jc w:val="left"/>
              <w:rPr>
                <w:color w:val="000000"/>
                <w:sz w:val="16"/>
                <w:lang w:eastAsia="en-GB"/>
              </w:rPr>
            </w:pPr>
            <w:r w:rsidRPr="009B7F14">
              <w:rPr>
                <w:color w:val="000000"/>
                <w:sz w:val="16"/>
                <w:lang w:eastAsia="en-GB"/>
              </w:rPr>
              <w:t>PM</w:t>
            </w:r>
          </w:p>
        </w:tc>
        <w:tc>
          <w:tcPr>
            <w:tcW w:w="1271" w:type="dxa"/>
            <w:vAlign w:val="center"/>
            <w:hideMark/>
          </w:tcPr>
          <w:p w14:paraId="5CD868DE" w14:textId="77777777" w:rsidR="00026095" w:rsidRPr="009B7F14" w:rsidRDefault="00026095" w:rsidP="00DE5CA1">
            <w:pPr>
              <w:spacing w:before="0" w:after="0" w:line="276" w:lineRule="auto"/>
              <w:jc w:val="left"/>
              <w:rPr>
                <w:color w:val="000000"/>
                <w:sz w:val="16"/>
                <w:lang w:eastAsia="en-GB"/>
              </w:rPr>
            </w:pPr>
            <w:r w:rsidRPr="009B7F14">
              <w:rPr>
                <w:color w:val="000000"/>
                <w:sz w:val="16"/>
                <w:lang w:eastAsia="en-GB"/>
              </w:rPr>
              <w:t>Pr</w:t>
            </w:r>
            <w:r w:rsidR="00E07673" w:rsidRPr="009B7F14">
              <w:rPr>
                <w:color w:val="000000"/>
                <w:sz w:val="16"/>
                <w:lang w:eastAsia="en-GB"/>
              </w:rPr>
              <w:t>ogramme</w:t>
            </w:r>
            <w:r w:rsidRPr="009B7F14">
              <w:rPr>
                <w:color w:val="000000"/>
                <w:sz w:val="16"/>
                <w:lang w:eastAsia="en-GB"/>
              </w:rPr>
              <w:t xml:space="preserve"> M</w:t>
            </w:r>
            <w:r w:rsidR="00655317" w:rsidRPr="009B7F14">
              <w:rPr>
                <w:color w:val="000000"/>
                <w:sz w:val="16"/>
                <w:lang w:eastAsia="en-GB"/>
              </w:rPr>
              <w:t>anagement</w:t>
            </w:r>
          </w:p>
        </w:tc>
        <w:tc>
          <w:tcPr>
            <w:tcW w:w="1413" w:type="dxa"/>
            <w:shd w:val="clear" w:color="auto" w:fill="BDD6EE" w:themeFill="accent1" w:themeFillTint="66"/>
            <w:vAlign w:val="center"/>
            <w:hideMark/>
          </w:tcPr>
          <w:p w14:paraId="753BEF7A" w14:textId="6C904941" w:rsidR="00026095" w:rsidRPr="009B7F14" w:rsidRDefault="003D4B01" w:rsidP="00DE5CA1">
            <w:pPr>
              <w:spacing w:before="0" w:after="0" w:line="276" w:lineRule="auto"/>
              <w:jc w:val="right"/>
              <w:rPr>
                <w:color w:val="000000"/>
                <w:sz w:val="16"/>
                <w:lang w:eastAsia="en-GB"/>
              </w:rPr>
            </w:pPr>
            <w:r w:rsidRPr="009B7F14">
              <w:rPr>
                <w:color w:val="000000"/>
                <w:sz w:val="16"/>
                <w:lang w:eastAsia="en-GB"/>
              </w:rPr>
              <w:t>€</w:t>
            </w:r>
            <w:r w:rsidR="00AB3DFE">
              <w:rPr>
                <w:color w:val="000000"/>
                <w:sz w:val="16"/>
                <w:lang w:eastAsia="en-GB"/>
              </w:rPr>
              <w:t xml:space="preserve"> </w:t>
            </w:r>
            <w:r w:rsidR="00AD5760" w:rsidRPr="009B7F14">
              <w:rPr>
                <w:color w:val="000000"/>
                <w:sz w:val="16"/>
                <w:lang w:eastAsia="en-GB"/>
              </w:rPr>
              <w:t xml:space="preserve">100 </w:t>
            </w:r>
            <w:r w:rsidR="00026095" w:rsidRPr="009B7F14">
              <w:rPr>
                <w:color w:val="000000"/>
                <w:sz w:val="16"/>
                <w:lang w:eastAsia="en-GB"/>
              </w:rPr>
              <w:t>000</w:t>
            </w:r>
          </w:p>
        </w:tc>
        <w:tc>
          <w:tcPr>
            <w:tcW w:w="1412" w:type="dxa"/>
            <w:shd w:val="clear" w:color="auto" w:fill="BDD6EE" w:themeFill="accent1" w:themeFillTint="66"/>
            <w:vAlign w:val="center"/>
          </w:tcPr>
          <w:p w14:paraId="175F0B91" w14:textId="0844505F" w:rsidR="00026095" w:rsidRPr="009B7F14" w:rsidRDefault="003D4B01" w:rsidP="00DE5CA1">
            <w:pPr>
              <w:spacing w:before="0" w:after="0" w:line="276" w:lineRule="auto"/>
              <w:jc w:val="right"/>
              <w:rPr>
                <w:color w:val="000000"/>
                <w:sz w:val="16"/>
                <w:lang w:eastAsia="en-GB"/>
              </w:rPr>
            </w:pPr>
            <w:r w:rsidRPr="009B7F14">
              <w:rPr>
                <w:color w:val="000000"/>
                <w:sz w:val="16"/>
                <w:lang w:eastAsia="en-GB"/>
              </w:rPr>
              <w:t>€</w:t>
            </w:r>
            <w:r w:rsidR="00AB3DFE">
              <w:rPr>
                <w:color w:val="000000"/>
                <w:sz w:val="16"/>
                <w:lang w:eastAsia="en-GB"/>
              </w:rPr>
              <w:t xml:space="preserve"> </w:t>
            </w:r>
            <w:r w:rsidR="00AD5760" w:rsidRPr="009B7F14">
              <w:rPr>
                <w:color w:val="000000"/>
                <w:sz w:val="16"/>
                <w:lang w:eastAsia="en-GB"/>
              </w:rPr>
              <w:t xml:space="preserve">100 </w:t>
            </w:r>
            <w:r w:rsidR="00026095" w:rsidRPr="009B7F14">
              <w:rPr>
                <w:color w:val="000000"/>
                <w:sz w:val="16"/>
                <w:lang w:eastAsia="en-GB"/>
              </w:rPr>
              <w:t>000</w:t>
            </w:r>
          </w:p>
        </w:tc>
        <w:tc>
          <w:tcPr>
            <w:tcW w:w="1413" w:type="dxa"/>
            <w:vAlign w:val="center"/>
          </w:tcPr>
          <w:p w14:paraId="344B710D" w14:textId="3FCC0AC7" w:rsidR="00026095" w:rsidRPr="009B7F14" w:rsidRDefault="003D4B01" w:rsidP="00DE5CA1">
            <w:pPr>
              <w:spacing w:before="0" w:after="0" w:line="276" w:lineRule="auto"/>
              <w:jc w:val="right"/>
              <w:rPr>
                <w:color w:val="000000"/>
                <w:sz w:val="16"/>
                <w:lang w:eastAsia="en-GB"/>
              </w:rPr>
            </w:pPr>
            <w:r w:rsidRPr="009B7F14">
              <w:rPr>
                <w:color w:val="000000"/>
                <w:sz w:val="16"/>
                <w:lang w:eastAsia="en-GB"/>
              </w:rPr>
              <w:t>€</w:t>
            </w:r>
            <w:r w:rsidR="00AB3DFE">
              <w:rPr>
                <w:color w:val="000000"/>
                <w:sz w:val="16"/>
                <w:lang w:eastAsia="en-GB"/>
              </w:rPr>
              <w:t xml:space="preserve"> </w:t>
            </w:r>
            <w:r w:rsidR="00AD5760" w:rsidRPr="009B7F14">
              <w:rPr>
                <w:color w:val="000000"/>
                <w:sz w:val="16"/>
                <w:lang w:eastAsia="en-GB"/>
              </w:rPr>
              <w:t xml:space="preserve">200 </w:t>
            </w:r>
            <w:r w:rsidR="00026095" w:rsidRPr="009B7F14">
              <w:rPr>
                <w:color w:val="000000"/>
                <w:sz w:val="16"/>
                <w:lang w:eastAsia="en-GB"/>
              </w:rPr>
              <w:t>000</w:t>
            </w:r>
          </w:p>
        </w:tc>
        <w:tc>
          <w:tcPr>
            <w:tcW w:w="1412" w:type="dxa"/>
            <w:shd w:val="clear" w:color="auto" w:fill="BDD6EE" w:themeFill="accent1" w:themeFillTint="66"/>
            <w:vAlign w:val="center"/>
            <w:hideMark/>
          </w:tcPr>
          <w:p w14:paraId="4D3CBC1D" w14:textId="77777777" w:rsidR="00026095" w:rsidRPr="009B7F14" w:rsidRDefault="00026095" w:rsidP="00DE5CA1">
            <w:pPr>
              <w:spacing w:before="0" w:after="0" w:line="276" w:lineRule="auto"/>
              <w:jc w:val="right"/>
              <w:rPr>
                <w:color w:val="000000"/>
                <w:sz w:val="16"/>
                <w:lang w:eastAsia="en-GB"/>
              </w:rPr>
            </w:pPr>
            <w:r w:rsidRPr="009B7F14">
              <w:rPr>
                <w:color w:val="000000"/>
                <w:sz w:val="16"/>
                <w:lang w:eastAsia="en-GB"/>
              </w:rPr>
              <w:t>85.00%</w:t>
            </w:r>
          </w:p>
        </w:tc>
        <w:tc>
          <w:tcPr>
            <w:tcW w:w="1503" w:type="dxa"/>
            <w:vAlign w:val="center"/>
          </w:tcPr>
          <w:p w14:paraId="2E098DD0" w14:textId="45FC8516" w:rsidR="00026095" w:rsidRPr="009B7F14" w:rsidRDefault="003D4B01" w:rsidP="00DE5CA1">
            <w:pPr>
              <w:spacing w:before="0" w:after="0" w:line="276" w:lineRule="auto"/>
              <w:jc w:val="right"/>
              <w:rPr>
                <w:color w:val="000000"/>
                <w:sz w:val="16"/>
                <w:lang w:eastAsia="en-GB"/>
              </w:rPr>
            </w:pPr>
            <w:r w:rsidRPr="009B7F14">
              <w:rPr>
                <w:sz w:val="16"/>
              </w:rPr>
              <w:t>€</w:t>
            </w:r>
            <w:r w:rsidR="00AB3DFE">
              <w:rPr>
                <w:sz w:val="16"/>
              </w:rPr>
              <w:t xml:space="preserve"> </w:t>
            </w:r>
            <w:r w:rsidR="00AD5760" w:rsidRPr="009B7F14">
              <w:rPr>
                <w:sz w:val="16"/>
              </w:rPr>
              <w:t xml:space="preserve">235 </w:t>
            </w:r>
            <w:r w:rsidR="00026095" w:rsidRPr="009B7F14">
              <w:rPr>
                <w:sz w:val="16"/>
              </w:rPr>
              <w:t>294</w:t>
            </w:r>
          </w:p>
        </w:tc>
      </w:tr>
      <w:tr w:rsidR="00026095" w:rsidRPr="009B7F14" w14:paraId="43696B01" w14:textId="77777777" w:rsidTr="0012618C">
        <w:trPr>
          <w:trHeight w:val="445"/>
        </w:trPr>
        <w:tc>
          <w:tcPr>
            <w:tcW w:w="561" w:type="dxa"/>
            <w:vAlign w:val="center"/>
            <w:hideMark/>
          </w:tcPr>
          <w:p w14:paraId="63DEDBB9" w14:textId="77777777" w:rsidR="00026095" w:rsidRPr="009B7F14" w:rsidRDefault="00026095" w:rsidP="00DE5CA1">
            <w:pPr>
              <w:spacing w:before="0" w:after="0" w:line="276" w:lineRule="auto"/>
              <w:jc w:val="left"/>
              <w:rPr>
                <w:color w:val="000000"/>
                <w:sz w:val="16"/>
                <w:lang w:eastAsia="en-GB"/>
              </w:rPr>
            </w:pPr>
            <w:r w:rsidRPr="009B7F14">
              <w:rPr>
                <w:color w:val="000000"/>
                <w:sz w:val="16"/>
                <w:lang w:eastAsia="en-GB"/>
              </w:rPr>
              <w:t>PA2</w:t>
            </w:r>
          </w:p>
        </w:tc>
        <w:tc>
          <w:tcPr>
            <w:tcW w:w="1271" w:type="dxa"/>
            <w:vAlign w:val="center"/>
            <w:hideMark/>
          </w:tcPr>
          <w:p w14:paraId="77A03D3E" w14:textId="77777777" w:rsidR="00026095" w:rsidRPr="009B7F14" w:rsidRDefault="00026095" w:rsidP="00DE5CA1">
            <w:pPr>
              <w:spacing w:before="0" w:after="0" w:line="276" w:lineRule="auto"/>
              <w:jc w:val="left"/>
              <w:rPr>
                <w:color w:val="000000"/>
                <w:sz w:val="16"/>
                <w:lang w:eastAsia="en-GB"/>
              </w:rPr>
            </w:pPr>
            <w:r w:rsidRPr="009B7F14">
              <w:rPr>
                <w:color w:val="000000"/>
                <w:sz w:val="16"/>
                <w:lang w:eastAsia="en-GB"/>
              </w:rPr>
              <w:t>Outcome 1</w:t>
            </w:r>
          </w:p>
        </w:tc>
        <w:tc>
          <w:tcPr>
            <w:tcW w:w="1413" w:type="dxa"/>
            <w:shd w:val="clear" w:color="auto" w:fill="BDD6EE" w:themeFill="accent1" w:themeFillTint="66"/>
            <w:vAlign w:val="center"/>
            <w:hideMark/>
          </w:tcPr>
          <w:p w14:paraId="595A6916" w14:textId="76572571" w:rsidR="00026095" w:rsidRPr="009B7F14" w:rsidRDefault="003D4B01" w:rsidP="00DE5CA1">
            <w:pPr>
              <w:spacing w:before="0" w:after="0" w:line="276" w:lineRule="auto"/>
              <w:jc w:val="right"/>
              <w:rPr>
                <w:color w:val="000000"/>
                <w:sz w:val="16"/>
                <w:lang w:eastAsia="en-GB"/>
              </w:rPr>
            </w:pPr>
            <w:r w:rsidRPr="009B7F14">
              <w:rPr>
                <w:sz w:val="16"/>
              </w:rPr>
              <w:t>€</w:t>
            </w:r>
            <w:r w:rsidR="00AB3DFE">
              <w:rPr>
                <w:sz w:val="16"/>
              </w:rPr>
              <w:t xml:space="preserve"> </w:t>
            </w:r>
            <w:r w:rsidR="00AD5760" w:rsidRPr="009B7F14">
              <w:rPr>
                <w:sz w:val="16"/>
              </w:rPr>
              <w:t xml:space="preserve">900 </w:t>
            </w:r>
            <w:r w:rsidR="00026095" w:rsidRPr="009B7F14">
              <w:rPr>
                <w:sz w:val="16"/>
              </w:rPr>
              <w:t>000</w:t>
            </w:r>
          </w:p>
        </w:tc>
        <w:tc>
          <w:tcPr>
            <w:tcW w:w="1412" w:type="dxa"/>
            <w:shd w:val="clear" w:color="auto" w:fill="BDD6EE" w:themeFill="accent1" w:themeFillTint="66"/>
            <w:vAlign w:val="center"/>
          </w:tcPr>
          <w:p w14:paraId="7C7E4AAE" w14:textId="77777777" w:rsidR="00026095" w:rsidRPr="009B7F14" w:rsidRDefault="003D4B01" w:rsidP="00DE5CA1">
            <w:pPr>
              <w:spacing w:before="0" w:after="0" w:line="276" w:lineRule="auto"/>
              <w:jc w:val="right"/>
              <w:rPr>
                <w:sz w:val="16"/>
              </w:rPr>
            </w:pPr>
            <w:r w:rsidRPr="009B7F14">
              <w:rPr>
                <w:sz w:val="16"/>
              </w:rPr>
              <w:t>€</w:t>
            </w:r>
            <w:r w:rsidR="00026095" w:rsidRPr="009B7F14">
              <w:rPr>
                <w:sz w:val="16"/>
              </w:rPr>
              <w:t>0</w:t>
            </w:r>
          </w:p>
        </w:tc>
        <w:tc>
          <w:tcPr>
            <w:tcW w:w="1413" w:type="dxa"/>
            <w:vAlign w:val="center"/>
          </w:tcPr>
          <w:p w14:paraId="1403DF50" w14:textId="11C64BF6" w:rsidR="00026095" w:rsidRPr="009B7F14" w:rsidRDefault="003D4B01" w:rsidP="00DE5CA1">
            <w:pPr>
              <w:spacing w:before="0" w:after="0" w:line="276" w:lineRule="auto"/>
              <w:jc w:val="right"/>
              <w:rPr>
                <w:sz w:val="16"/>
              </w:rPr>
            </w:pPr>
            <w:r w:rsidRPr="009B7F14">
              <w:rPr>
                <w:sz w:val="16"/>
              </w:rPr>
              <w:t>€</w:t>
            </w:r>
            <w:r w:rsidR="00AB3DFE">
              <w:rPr>
                <w:sz w:val="16"/>
              </w:rPr>
              <w:t xml:space="preserve"> </w:t>
            </w:r>
            <w:r w:rsidR="00AD5760" w:rsidRPr="009B7F14">
              <w:rPr>
                <w:sz w:val="16"/>
              </w:rPr>
              <w:t xml:space="preserve">900 </w:t>
            </w:r>
            <w:r w:rsidR="00026095" w:rsidRPr="009B7F14">
              <w:rPr>
                <w:sz w:val="16"/>
              </w:rPr>
              <w:t>000</w:t>
            </w:r>
          </w:p>
        </w:tc>
        <w:tc>
          <w:tcPr>
            <w:tcW w:w="1412" w:type="dxa"/>
            <w:shd w:val="clear" w:color="auto" w:fill="BDD6EE" w:themeFill="accent1" w:themeFillTint="66"/>
            <w:vAlign w:val="center"/>
            <w:hideMark/>
          </w:tcPr>
          <w:p w14:paraId="739ABB54" w14:textId="77777777" w:rsidR="00026095" w:rsidRPr="009B7F14" w:rsidRDefault="00026095" w:rsidP="00DE5CA1">
            <w:pPr>
              <w:spacing w:before="0" w:after="0" w:line="276" w:lineRule="auto"/>
              <w:jc w:val="right"/>
              <w:rPr>
                <w:color w:val="000000"/>
                <w:sz w:val="16"/>
                <w:lang w:eastAsia="en-GB"/>
              </w:rPr>
            </w:pPr>
            <w:r w:rsidRPr="009B7F14">
              <w:rPr>
                <w:color w:val="000000"/>
                <w:sz w:val="16"/>
                <w:lang w:eastAsia="en-GB"/>
              </w:rPr>
              <w:t>85.00%</w:t>
            </w:r>
          </w:p>
        </w:tc>
        <w:tc>
          <w:tcPr>
            <w:tcW w:w="1503" w:type="dxa"/>
            <w:vAlign w:val="center"/>
          </w:tcPr>
          <w:p w14:paraId="1211795C" w14:textId="038A7D6E" w:rsidR="00026095" w:rsidRPr="009B7F14" w:rsidRDefault="00E256D3" w:rsidP="00DE5CA1">
            <w:pPr>
              <w:spacing w:before="0" w:after="0" w:line="276" w:lineRule="auto"/>
              <w:jc w:val="right"/>
              <w:rPr>
                <w:color w:val="000000"/>
                <w:sz w:val="16"/>
                <w:lang w:eastAsia="en-GB"/>
              </w:rPr>
            </w:pPr>
            <w:r>
              <w:rPr>
                <w:sz w:val="16"/>
              </w:rPr>
              <w:t>€</w:t>
            </w:r>
            <w:r w:rsidR="00AB3DFE">
              <w:rPr>
                <w:sz w:val="16"/>
              </w:rPr>
              <w:t xml:space="preserve"> </w:t>
            </w:r>
            <w:r w:rsidR="003D4B01" w:rsidRPr="009B7F14">
              <w:rPr>
                <w:sz w:val="16"/>
              </w:rPr>
              <w:t>1</w:t>
            </w:r>
            <w:r w:rsidR="004511A6" w:rsidRPr="009B7F14">
              <w:rPr>
                <w:sz w:val="16"/>
              </w:rPr>
              <w:t xml:space="preserve"> </w:t>
            </w:r>
            <w:r w:rsidR="00AD5760" w:rsidRPr="009B7F14">
              <w:rPr>
                <w:sz w:val="16"/>
              </w:rPr>
              <w:t xml:space="preserve">058 </w:t>
            </w:r>
            <w:r w:rsidR="00026095" w:rsidRPr="009B7F14">
              <w:rPr>
                <w:sz w:val="16"/>
              </w:rPr>
              <w:t>824</w:t>
            </w:r>
          </w:p>
        </w:tc>
      </w:tr>
      <w:tr w:rsidR="00A12266" w:rsidRPr="009B7F14" w14:paraId="53649F56" w14:textId="77777777" w:rsidTr="0012618C">
        <w:trPr>
          <w:trHeight w:val="423"/>
        </w:trPr>
        <w:tc>
          <w:tcPr>
            <w:tcW w:w="561" w:type="dxa"/>
            <w:vAlign w:val="center"/>
            <w:hideMark/>
          </w:tcPr>
          <w:p w14:paraId="3E3AE220" w14:textId="77777777" w:rsidR="00026095" w:rsidRPr="009B7F14" w:rsidRDefault="00026095" w:rsidP="00DE5CA1">
            <w:pPr>
              <w:spacing w:before="0" w:after="0" w:line="276" w:lineRule="auto"/>
              <w:jc w:val="left"/>
              <w:rPr>
                <w:color w:val="000000"/>
                <w:sz w:val="16"/>
                <w:lang w:eastAsia="en-GB"/>
              </w:rPr>
            </w:pPr>
            <w:r w:rsidRPr="009B7F14">
              <w:rPr>
                <w:color w:val="000000"/>
                <w:sz w:val="16"/>
                <w:lang w:eastAsia="en-GB"/>
              </w:rPr>
              <w:t>PA4</w:t>
            </w:r>
          </w:p>
        </w:tc>
        <w:tc>
          <w:tcPr>
            <w:tcW w:w="1271" w:type="dxa"/>
            <w:vAlign w:val="center"/>
            <w:hideMark/>
          </w:tcPr>
          <w:p w14:paraId="7401BA84" w14:textId="77777777" w:rsidR="00026095" w:rsidRPr="009B7F14" w:rsidRDefault="00026095" w:rsidP="00DE5CA1">
            <w:pPr>
              <w:spacing w:before="0" w:after="0" w:line="276" w:lineRule="auto"/>
              <w:jc w:val="left"/>
              <w:rPr>
                <w:color w:val="000000"/>
                <w:sz w:val="16"/>
                <w:lang w:eastAsia="en-GB"/>
              </w:rPr>
            </w:pPr>
            <w:r w:rsidRPr="009B7F14">
              <w:rPr>
                <w:color w:val="000000"/>
                <w:sz w:val="16"/>
                <w:lang w:eastAsia="en-GB"/>
              </w:rPr>
              <w:t>Outcome 2</w:t>
            </w:r>
          </w:p>
        </w:tc>
        <w:tc>
          <w:tcPr>
            <w:tcW w:w="1413" w:type="dxa"/>
            <w:shd w:val="clear" w:color="auto" w:fill="BDD6EE" w:themeFill="accent1" w:themeFillTint="66"/>
            <w:vAlign w:val="center"/>
            <w:hideMark/>
          </w:tcPr>
          <w:p w14:paraId="015D5271" w14:textId="77777777" w:rsidR="00026095" w:rsidRPr="009B7F14" w:rsidRDefault="004511A6" w:rsidP="00DE5CA1">
            <w:pPr>
              <w:spacing w:before="0" w:after="0" w:line="276" w:lineRule="auto"/>
              <w:jc w:val="right"/>
              <w:rPr>
                <w:color w:val="000000"/>
                <w:sz w:val="16"/>
                <w:lang w:eastAsia="en-GB"/>
              </w:rPr>
            </w:pPr>
            <w:r w:rsidRPr="009B7F14">
              <w:rPr>
                <w:sz w:val="16"/>
              </w:rPr>
              <w:t>€0</w:t>
            </w:r>
          </w:p>
        </w:tc>
        <w:tc>
          <w:tcPr>
            <w:tcW w:w="1412" w:type="dxa"/>
            <w:shd w:val="clear" w:color="auto" w:fill="BDD6EE" w:themeFill="accent1" w:themeFillTint="66"/>
            <w:vAlign w:val="center"/>
          </w:tcPr>
          <w:p w14:paraId="74306F85" w14:textId="299B00BE" w:rsidR="00026095" w:rsidRPr="009B7F14" w:rsidRDefault="003D4B01" w:rsidP="00DE5CA1">
            <w:pPr>
              <w:spacing w:before="0" w:after="0" w:line="276" w:lineRule="auto"/>
              <w:jc w:val="right"/>
              <w:rPr>
                <w:sz w:val="16"/>
              </w:rPr>
            </w:pPr>
            <w:r w:rsidRPr="009B7F14">
              <w:rPr>
                <w:sz w:val="16"/>
              </w:rPr>
              <w:t>€</w:t>
            </w:r>
            <w:r w:rsidR="00AB3DFE">
              <w:rPr>
                <w:sz w:val="16"/>
              </w:rPr>
              <w:t xml:space="preserve"> </w:t>
            </w:r>
            <w:r w:rsidR="00AD5760" w:rsidRPr="009B7F14">
              <w:rPr>
                <w:sz w:val="16"/>
              </w:rPr>
              <w:t xml:space="preserve">900 </w:t>
            </w:r>
            <w:r w:rsidR="00026095" w:rsidRPr="009B7F14">
              <w:rPr>
                <w:sz w:val="16"/>
              </w:rPr>
              <w:t>000</w:t>
            </w:r>
          </w:p>
        </w:tc>
        <w:tc>
          <w:tcPr>
            <w:tcW w:w="1413" w:type="dxa"/>
            <w:vAlign w:val="center"/>
          </w:tcPr>
          <w:p w14:paraId="0133438C" w14:textId="7F5CE3C5" w:rsidR="00026095" w:rsidRPr="009B7F14" w:rsidRDefault="003D4B01" w:rsidP="00DE5CA1">
            <w:pPr>
              <w:spacing w:before="0" w:after="0" w:line="276" w:lineRule="auto"/>
              <w:jc w:val="right"/>
              <w:rPr>
                <w:sz w:val="16"/>
              </w:rPr>
            </w:pPr>
            <w:r w:rsidRPr="009B7F14">
              <w:rPr>
                <w:sz w:val="16"/>
              </w:rPr>
              <w:t>€</w:t>
            </w:r>
            <w:r w:rsidR="00AB3DFE">
              <w:rPr>
                <w:sz w:val="16"/>
              </w:rPr>
              <w:t xml:space="preserve"> </w:t>
            </w:r>
            <w:r w:rsidR="00AD5760" w:rsidRPr="009B7F14">
              <w:rPr>
                <w:sz w:val="16"/>
              </w:rPr>
              <w:t xml:space="preserve">900 </w:t>
            </w:r>
            <w:r w:rsidR="00026095" w:rsidRPr="009B7F14">
              <w:rPr>
                <w:sz w:val="16"/>
              </w:rPr>
              <w:t>000</w:t>
            </w:r>
          </w:p>
        </w:tc>
        <w:tc>
          <w:tcPr>
            <w:tcW w:w="1412" w:type="dxa"/>
            <w:shd w:val="clear" w:color="auto" w:fill="BDD6EE" w:themeFill="accent1" w:themeFillTint="66"/>
            <w:vAlign w:val="center"/>
            <w:hideMark/>
          </w:tcPr>
          <w:p w14:paraId="26B3050A" w14:textId="77777777" w:rsidR="00026095" w:rsidRPr="009B7F14" w:rsidRDefault="00026095" w:rsidP="00DE5CA1">
            <w:pPr>
              <w:spacing w:before="0" w:after="0" w:line="276" w:lineRule="auto"/>
              <w:jc w:val="right"/>
              <w:rPr>
                <w:color w:val="000000"/>
                <w:sz w:val="16"/>
                <w:lang w:eastAsia="en-GB"/>
              </w:rPr>
            </w:pPr>
            <w:r w:rsidRPr="009B7F14">
              <w:rPr>
                <w:color w:val="000000"/>
                <w:sz w:val="16"/>
                <w:lang w:eastAsia="en-GB"/>
              </w:rPr>
              <w:t>85.00%</w:t>
            </w:r>
          </w:p>
        </w:tc>
        <w:tc>
          <w:tcPr>
            <w:tcW w:w="1503" w:type="dxa"/>
            <w:vAlign w:val="center"/>
          </w:tcPr>
          <w:p w14:paraId="3CD5066F" w14:textId="72FA8FAB" w:rsidR="00026095" w:rsidRPr="009B7F14" w:rsidRDefault="003D4B01" w:rsidP="00DE5CA1">
            <w:pPr>
              <w:spacing w:before="0" w:after="0" w:line="276" w:lineRule="auto"/>
              <w:jc w:val="right"/>
              <w:rPr>
                <w:color w:val="000000"/>
                <w:sz w:val="16"/>
                <w:lang w:eastAsia="en-GB"/>
              </w:rPr>
            </w:pPr>
            <w:r w:rsidRPr="009B7F14">
              <w:rPr>
                <w:sz w:val="16"/>
              </w:rPr>
              <w:t>€</w:t>
            </w:r>
            <w:r w:rsidR="00AB3DFE">
              <w:rPr>
                <w:sz w:val="16"/>
              </w:rPr>
              <w:t xml:space="preserve"> </w:t>
            </w:r>
            <w:r w:rsidR="00AD5760" w:rsidRPr="009B7F14">
              <w:rPr>
                <w:sz w:val="16"/>
              </w:rPr>
              <w:t xml:space="preserve">1 058 </w:t>
            </w:r>
            <w:r w:rsidR="00026095" w:rsidRPr="009B7F14">
              <w:rPr>
                <w:sz w:val="16"/>
              </w:rPr>
              <w:t>824</w:t>
            </w:r>
          </w:p>
        </w:tc>
      </w:tr>
      <w:tr w:rsidR="00026095" w:rsidRPr="009B7F14" w14:paraId="36EBA9B8" w14:textId="77777777" w:rsidTr="0012618C">
        <w:trPr>
          <w:trHeight w:val="414"/>
        </w:trPr>
        <w:tc>
          <w:tcPr>
            <w:tcW w:w="561" w:type="dxa"/>
            <w:noWrap/>
            <w:vAlign w:val="center"/>
            <w:hideMark/>
          </w:tcPr>
          <w:p w14:paraId="564181A7" w14:textId="77777777" w:rsidR="00026095" w:rsidRPr="009B7F14" w:rsidRDefault="00026095" w:rsidP="00DE5CA1">
            <w:pPr>
              <w:spacing w:before="0" w:after="0" w:line="276" w:lineRule="auto"/>
              <w:jc w:val="left"/>
              <w:rPr>
                <w:b/>
                <w:color w:val="000000"/>
                <w:sz w:val="16"/>
                <w:lang w:eastAsia="en-GB"/>
              </w:rPr>
            </w:pPr>
          </w:p>
        </w:tc>
        <w:tc>
          <w:tcPr>
            <w:tcW w:w="1271" w:type="dxa"/>
            <w:vAlign w:val="center"/>
            <w:hideMark/>
          </w:tcPr>
          <w:p w14:paraId="2A17D496" w14:textId="77777777" w:rsidR="00026095" w:rsidRPr="009B7F14" w:rsidRDefault="00026095" w:rsidP="00DE5CA1">
            <w:pPr>
              <w:spacing w:before="0" w:after="0" w:line="276" w:lineRule="auto"/>
              <w:jc w:val="left"/>
              <w:rPr>
                <w:b/>
                <w:color w:val="000000"/>
                <w:sz w:val="16"/>
                <w:lang w:eastAsia="en-GB"/>
              </w:rPr>
            </w:pPr>
            <w:r w:rsidRPr="009B7F14">
              <w:rPr>
                <w:b/>
                <w:color w:val="000000"/>
                <w:sz w:val="16"/>
                <w:lang w:eastAsia="en-GB"/>
              </w:rPr>
              <w:t>Total</w:t>
            </w:r>
          </w:p>
        </w:tc>
        <w:tc>
          <w:tcPr>
            <w:tcW w:w="1413" w:type="dxa"/>
            <w:vAlign w:val="center"/>
            <w:hideMark/>
          </w:tcPr>
          <w:p w14:paraId="6F434E10" w14:textId="31B160C2" w:rsidR="00026095" w:rsidRPr="009B7F14" w:rsidRDefault="00026095" w:rsidP="00DE5CA1">
            <w:pPr>
              <w:spacing w:before="0" w:after="0" w:line="276" w:lineRule="auto"/>
              <w:jc w:val="right"/>
              <w:rPr>
                <w:b/>
                <w:color w:val="000000"/>
                <w:sz w:val="16"/>
                <w:lang w:eastAsia="en-GB"/>
              </w:rPr>
            </w:pPr>
            <w:r w:rsidRPr="009B7F14">
              <w:rPr>
                <w:b/>
                <w:sz w:val="16"/>
              </w:rPr>
              <w:t>€</w:t>
            </w:r>
            <w:r w:rsidR="00AB3DFE">
              <w:rPr>
                <w:b/>
                <w:sz w:val="16"/>
              </w:rPr>
              <w:t xml:space="preserve"> </w:t>
            </w:r>
            <w:r w:rsidR="00AD5760" w:rsidRPr="009B7F14">
              <w:rPr>
                <w:b/>
                <w:sz w:val="16"/>
              </w:rPr>
              <w:t xml:space="preserve">1 000 </w:t>
            </w:r>
            <w:r w:rsidRPr="009B7F14">
              <w:rPr>
                <w:b/>
                <w:sz w:val="16"/>
              </w:rPr>
              <w:t>000</w:t>
            </w:r>
          </w:p>
        </w:tc>
        <w:tc>
          <w:tcPr>
            <w:tcW w:w="1412" w:type="dxa"/>
            <w:vAlign w:val="center"/>
          </w:tcPr>
          <w:p w14:paraId="0416B846" w14:textId="3A783C62" w:rsidR="00026095" w:rsidRPr="009B7F14" w:rsidRDefault="003D4B01" w:rsidP="00DE5CA1">
            <w:pPr>
              <w:spacing w:before="0" w:after="0" w:line="276" w:lineRule="auto"/>
              <w:jc w:val="right"/>
              <w:rPr>
                <w:b/>
                <w:sz w:val="16"/>
              </w:rPr>
            </w:pPr>
            <w:r w:rsidRPr="009B7F14">
              <w:rPr>
                <w:b/>
                <w:sz w:val="16"/>
              </w:rPr>
              <w:t>€</w:t>
            </w:r>
            <w:r w:rsidR="00AB3DFE">
              <w:rPr>
                <w:b/>
                <w:sz w:val="16"/>
              </w:rPr>
              <w:t xml:space="preserve"> </w:t>
            </w:r>
            <w:r w:rsidR="00AD5760" w:rsidRPr="009B7F14">
              <w:rPr>
                <w:b/>
                <w:sz w:val="16"/>
              </w:rPr>
              <w:t xml:space="preserve">1 000 </w:t>
            </w:r>
            <w:r w:rsidR="00026095" w:rsidRPr="009B7F14">
              <w:rPr>
                <w:b/>
                <w:sz w:val="16"/>
              </w:rPr>
              <w:t>000</w:t>
            </w:r>
          </w:p>
        </w:tc>
        <w:tc>
          <w:tcPr>
            <w:tcW w:w="1413" w:type="dxa"/>
            <w:vAlign w:val="center"/>
          </w:tcPr>
          <w:p w14:paraId="76A7FDAA" w14:textId="7CD9AE31" w:rsidR="00026095" w:rsidRPr="009B7F14" w:rsidRDefault="003D4B01" w:rsidP="00DE5CA1">
            <w:pPr>
              <w:spacing w:before="0" w:after="0" w:line="276" w:lineRule="auto"/>
              <w:jc w:val="right"/>
              <w:rPr>
                <w:b/>
                <w:sz w:val="16"/>
              </w:rPr>
            </w:pPr>
            <w:r w:rsidRPr="009B7F14">
              <w:rPr>
                <w:b/>
                <w:sz w:val="16"/>
              </w:rPr>
              <w:t>€</w:t>
            </w:r>
            <w:r w:rsidR="00AB3DFE">
              <w:rPr>
                <w:b/>
                <w:sz w:val="16"/>
              </w:rPr>
              <w:t xml:space="preserve"> </w:t>
            </w:r>
            <w:r w:rsidR="00AD5760" w:rsidRPr="009B7F14">
              <w:rPr>
                <w:b/>
                <w:sz w:val="16"/>
              </w:rPr>
              <w:t xml:space="preserve">2 000 </w:t>
            </w:r>
            <w:r w:rsidR="00026095" w:rsidRPr="009B7F14">
              <w:rPr>
                <w:b/>
                <w:sz w:val="16"/>
              </w:rPr>
              <w:t>000</w:t>
            </w:r>
          </w:p>
        </w:tc>
        <w:tc>
          <w:tcPr>
            <w:tcW w:w="1412" w:type="dxa"/>
            <w:vAlign w:val="center"/>
            <w:hideMark/>
          </w:tcPr>
          <w:p w14:paraId="25BB515B" w14:textId="77777777" w:rsidR="00026095" w:rsidRPr="009B7F14" w:rsidRDefault="00026095" w:rsidP="00DE5CA1">
            <w:pPr>
              <w:spacing w:before="0" w:after="0" w:line="276" w:lineRule="auto"/>
              <w:jc w:val="right"/>
              <w:rPr>
                <w:b/>
                <w:color w:val="000000"/>
                <w:sz w:val="16"/>
                <w:lang w:eastAsia="en-GB"/>
              </w:rPr>
            </w:pPr>
            <w:r w:rsidRPr="009B7F14">
              <w:rPr>
                <w:b/>
                <w:color w:val="000000"/>
                <w:sz w:val="16"/>
                <w:lang w:eastAsia="en-GB"/>
              </w:rPr>
              <w:t>85.00%</w:t>
            </w:r>
          </w:p>
        </w:tc>
        <w:tc>
          <w:tcPr>
            <w:tcW w:w="1503" w:type="dxa"/>
            <w:vAlign w:val="center"/>
          </w:tcPr>
          <w:p w14:paraId="1E2CC76F" w14:textId="1166817E" w:rsidR="00026095" w:rsidRPr="009B7F14" w:rsidRDefault="003D4B01" w:rsidP="00DE5CA1">
            <w:pPr>
              <w:spacing w:before="0" w:after="0" w:line="276" w:lineRule="auto"/>
              <w:jc w:val="right"/>
              <w:rPr>
                <w:b/>
                <w:color w:val="000000"/>
                <w:sz w:val="16"/>
                <w:lang w:eastAsia="en-GB"/>
              </w:rPr>
            </w:pPr>
            <w:r w:rsidRPr="009B7F14">
              <w:rPr>
                <w:b/>
                <w:sz w:val="16"/>
              </w:rPr>
              <w:t>€</w:t>
            </w:r>
            <w:r w:rsidR="00AB3DFE">
              <w:rPr>
                <w:b/>
                <w:sz w:val="16"/>
              </w:rPr>
              <w:t xml:space="preserve"> </w:t>
            </w:r>
            <w:r w:rsidR="00AD5760" w:rsidRPr="009B7F14">
              <w:rPr>
                <w:b/>
                <w:sz w:val="16"/>
              </w:rPr>
              <w:t xml:space="preserve">2 352 </w:t>
            </w:r>
            <w:r w:rsidR="004511A6" w:rsidRPr="009B7F14">
              <w:rPr>
                <w:b/>
                <w:sz w:val="16"/>
              </w:rPr>
              <w:t>942</w:t>
            </w:r>
          </w:p>
        </w:tc>
      </w:tr>
    </w:tbl>
    <w:p w14:paraId="09DABAC2" w14:textId="77971BC0" w:rsidR="00181D99" w:rsidRPr="009B7F14" w:rsidRDefault="00181D99" w:rsidP="00376576">
      <w:r w:rsidRPr="009B7F14">
        <w:t>As a programme can be financed both from the EEA and Norw</w:t>
      </w:r>
      <w:r w:rsidR="00655317" w:rsidRPr="009B7F14">
        <w:t>egian Financial Mechanisms</w:t>
      </w:r>
      <w:r w:rsidRPr="009B7F14">
        <w:t xml:space="preserve">, </w:t>
      </w:r>
      <w:r w:rsidR="00044084" w:rsidRPr="009B7F14">
        <w:t>as</w:t>
      </w:r>
      <w:r w:rsidRPr="009B7F14">
        <w:t xml:space="preserve"> determined in the MoUs, it is necessary to indicate which </w:t>
      </w:r>
      <w:r w:rsidR="00314C9D" w:rsidRPr="009B7F14">
        <w:t xml:space="preserve">budget </w:t>
      </w:r>
      <w:r w:rsidR="00786D68">
        <w:t>headings</w:t>
      </w:r>
      <w:r w:rsidR="00314C9D" w:rsidRPr="009B7F14">
        <w:t xml:space="preserve"> are financed</w:t>
      </w:r>
      <w:r w:rsidRPr="009B7F14">
        <w:t xml:space="preserve"> from the respective </w:t>
      </w:r>
      <w:r w:rsidR="00655317" w:rsidRPr="009B7F14">
        <w:t>Financial Mechanism</w:t>
      </w:r>
      <w:r w:rsidRPr="009B7F14">
        <w:t xml:space="preserve">. The </w:t>
      </w:r>
      <w:r w:rsidR="00E256D3">
        <w:t>p</w:t>
      </w:r>
      <w:r w:rsidR="00655317" w:rsidRPr="009B7F14">
        <w:t xml:space="preserve">rogramme </w:t>
      </w:r>
      <w:r w:rsidRPr="009B7F14">
        <w:t>grant rate will also have to</w:t>
      </w:r>
      <w:r w:rsidR="00215E29">
        <w:t xml:space="preserve"> be set for each of the budget headings</w:t>
      </w:r>
      <w:r w:rsidRPr="009B7F14">
        <w:t xml:space="preserve">, respecting the co-financing </w:t>
      </w:r>
      <w:r w:rsidR="00B97877" w:rsidRPr="009B7F14">
        <w:t>obligations laid down in the MoUs. The default programme grant rate is 85%</w:t>
      </w:r>
      <w:r w:rsidR="002108B0" w:rsidRPr="009B7F14">
        <w:t xml:space="preserve"> (Reg. Art. 6.4)</w:t>
      </w:r>
      <w:r w:rsidR="00C9508B" w:rsidRPr="009B7F14">
        <w:t>.</w:t>
      </w:r>
    </w:p>
    <w:p w14:paraId="273B5FD2" w14:textId="3B4C8A1C" w:rsidR="00681CEA" w:rsidRPr="009B7F14" w:rsidRDefault="00681CEA" w:rsidP="00376576">
      <w:r w:rsidRPr="009B7F14">
        <w:t xml:space="preserve">Based on the submitted </w:t>
      </w:r>
      <w:r w:rsidR="00926A74" w:rsidRPr="009B7F14">
        <w:t>c</w:t>
      </w:r>
      <w:r w:rsidRPr="009B7F14">
        <w:t xml:space="preserve">oncept </w:t>
      </w:r>
      <w:r w:rsidR="00926A74" w:rsidRPr="009B7F14">
        <w:t>n</w:t>
      </w:r>
      <w:r w:rsidR="004E3490">
        <w:t>ote and comments from the D</w:t>
      </w:r>
      <w:r w:rsidRPr="009B7F14">
        <w:t>onors, the FMO will prepare a draft Programme Agreement</w:t>
      </w:r>
      <w:r w:rsidR="00DE594B" w:rsidRPr="009B7F14">
        <w:t xml:space="preserve"> (PA)</w:t>
      </w:r>
      <w:r w:rsidRPr="009B7F14">
        <w:t xml:space="preserve"> in consultation with the </w:t>
      </w:r>
      <w:r w:rsidR="001D2E3B" w:rsidRPr="009B7F14">
        <w:t>NFP/PO</w:t>
      </w:r>
      <w:r w:rsidRPr="009B7F14">
        <w:t xml:space="preserve">. During this phase the PO will have to provide </w:t>
      </w:r>
      <w:r w:rsidR="00C9508B" w:rsidRPr="009B7F14">
        <w:t xml:space="preserve">further </w:t>
      </w:r>
      <w:r w:rsidRPr="009B7F14">
        <w:t xml:space="preserve">additional information. </w:t>
      </w:r>
      <w:r w:rsidR="000313FE" w:rsidRPr="009B7F14">
        <w:t xml:space="preserve">The following finance related information will be </w:t>
      </w:r>
      <w:r w:rsidRPr="009B7F14">
        <w:t>required:</w:t>
      </w:r>
    </w:p>
    <w:p w14:paraId="2BD7CFBC" w14:textId="4276B79E" w:rsidR="00044084" w:rsidRPr="009B7F14" w:rsidRDefault="00100536" w:rsidP="009F01EE">
      <w:pPr>
        <w:pStyle w:val="ListParagraph"/>
        <w:numPr>
          <w:ilvl w:val="0"/>
          <w:numId w:val="7"/>
        </w:numPr>
      </w:pPr>
      <w:r>
        <w:t>Further details on</w:t>
      </w:r>
      <w:r w:rsidR="00044084" w:rsidRPr="009B7F14">
        <w:t xml:space="preserve"> internal organisation of the PO and </w:t>
      </w:r>
      <w:r>
        <w:t>programme management</w:t>
      </w:r>
      <w:r w:rsidR="00044084" w:rsidRPr="009B7F14">
        <w:t xml:space="preserve"> </w:t>
      </w:r>
    </w:p>
    <w:p w14:paraId="11492DFA" w14:textId="77777777" w:rsidR="00681CEA" w:rsidRPr="009B7F14" w:rsidRDefault="00681CEA" w:rsidP="009F01EE">
      <w:pPr>
        <w:pStyle w:val="ListParagraph"/>
        <w:numPr>
          <w:ilvl w:val="0"/>
          <w:numId w:val="7"/>
        </w:numPr>
      </w:pPr>
      <w:r w:rsidRPr="009B7F14">
        <w:t>A detailed management cost budget</w:t>
      </w:r>
    </w:p>
    <w:p w14:paraId="3F7578A8" w14:textId="77777777" w:rsidR="00681CEA" w:rsidRPr="009B7F14" w:rsidRDefault="00681CEA" w:rsidP="009F01EE">
      <w:pPr>
        <w:pStyle w:val="ListParagraph"/>
        <w:numPr>
          <w:ilvl w:val="0"/>
          <w:numId w:val="7"/>
        </w:numPr>
      </w:pPr>
      <w:r w:rsidRPr="009B7F14">
        <w:t>Project related information</w:t>
      </w:r>
    </w:p>
    <w:p w14:paraId="18A29EA6" w14:textId="77777777" w:rsidR="00681CEA" w:rsidRPr="009B7F14" w:rsidRDefault="009A52B9" w:rsidP="00920571">
      <w:pPr>
        <w:pStyle w:val="Heading3"/>
      </w:pPr>
      <w:r w:rsidRPr="009B7F14">
        <w:t>M</w:t>
      </w:r>
      <w:r w:rsidR="00681CEA" w:rsidRPr="009B7F14">
        <w:t>anagement cost budget</w:t>
      </w:r>
    </w:p>
    <w:p w14:paraId="31AD0313" w14:textId="2EC1CAD2" w:rsidR="00681CEA" w:rsidRPr="009B7F14" w:rsidRDefault="00681CEA" w:rsidP="00376576">
      <w:r w:rsidRPr="009B7F14">
        <w:t>The PO should provide the FMO with a more detailed breakdown of the management cost</w:t>
      </w:r>
      <w:r w:rsidR="004E3490">
        <w:t>s</w:t>
      </w:r>
      <w:r w:rsidRPr="009B7F14">
        <w:t xml:space="preserve"> requested in the </w:t>
      </w:r>
      <w:r w:rsidR="002D3AAD" w:rsidRPr="009B7F14">
        <w:t>c</w:t>
      </w:r>
      <w:r w:rsidRPr="009B7F14">
        <w:t xml:space="preserve">oncept </w:t>
      </w:r>
      <w:r w:rsidR="002D3AAD" w:rsidRPr="009B7F14">
        <w:t>n</w:t>
      </w:r>
      <w:r w:rsidRPr="009B7F14">
        <w:t xml:space="preserve">ote. The budget categories </w:t>
      </w:r>
      <w:r w:rsidR="002C6E2E">
        <w:t>may</w:t>
      </w:r>
      <w:r w:rsidR="00592CFA" w:rsidRPr="009B7F14">
        <w:t xml:space="preserve"> </w:t>
      </w:r>
      <w:r w:rsidR="008F54FF" w:rsidRPr="009B7F14">
        <w:t>follow</w:t>
      </w:r>
      <w:r w:rsidRPr="009B7F14">
        <w:t xml:space="preserve"> the categories provided in </w:t>
      </w:r>
      <w:r w:rsidR="00CE1797" w:rsidRPr="009B7F14">
        <w:t xml:space="preserve">Reg. </w:t>
      </w:r>
      <w:r w:rsidRPr="009B7F14">
        <w:t>Art</w:t>
      </w:r>
      <w:r w:rsidR="00CE1797" w:rsidRPr="009B7F14">
        <w:t>.</w:t>
      </w:r>
      <w:r w:rsidRPr="009B7F14">
        <w:t xml:space="preserve"> </w:t>
      </w:r>
      <w:r w:rsidR="002D3AAD" w:rsidRPr="009B7F14">
        <w:t>8.10.4</w:t>
      </w:r>
      <w:r w:rsidR="002C6E2E">
        <w:t xml:space="preserve"> (</w:t>
      </w:r>
      <w:r w:rsidR="004F2613">
        <w:t>T</w:t>
      </w:r>
      <w:r w:rsidR="004E3490">
        <w:t xml:space="preserve">able 2 </w:t>
      </w:r>
      <w:r w:rsidR="002C6E2E">
        <w:t>below), keeping in mind that only expenditures falling into one or more of the categories below are eligible expenditure under programme management cost</w:t>
      </w:r>
      <w:r w:rsidR="004E3490">
        <w:t>s</w:t>
      </w:r>
      <w:r w:rsidR="002C6E2E">
        <w:t>.</w:t>
      </w:r>
    </w:p>
    <w:p w14:paraId="555BAF4A" w14:textId="6E1D0A49" w:rsidR="00AF3A2D" w:rsidRPr="009B7F14" w:rsidRDefault="00AF3A2D" w:rsidP="00E74DEC">
      <w:pPr>
        <w:pStyle w:val="Caption"/>
        <w:keepNext/>
        <w:keepLines/>
      </w:pPr>
      <w:bookmarkStart w:id="11" w:name="_Toc467246319"/>
      <w:bookmarkStart w:id="12" w:name="_Toc484174864"/>
      <w:r w:rsidRPr="009B7F14">
        <w:t xml:space="preserve">Table </w:t>
      </w:r>
      <w:r w:rsidR="00DE4338">
        <w:fldChar w:fldCharType="begin"/>
      </w:r>
      <w:r w:rsidR="00DE4338">
        <w:instrText xml:space="preserve"> SEQ Table \* ARABIC </w:instrText>
      </w:r>
      <w:r w:rsidR="00DE4338">
        <w:fldChar w:fldCharType="separate"/>
      </w:r>
      <w:r w:rsidR="00215E29">
        <w:rPr>
          <w:noProof/>
        </w:rPr>
        <w:t>2</w:t>
      </w:r>
      <w:r w:rsidR="00DE4338">
        <w:rPr>
          <w:noProof/>
        </w:rPr>
        <w:fldChar w:fldCharType="end"/>
      </w:r>
      <w:r w:rsidRPr="009B7F14">
        <w:t>: Breakdown of the management cost</w:t>
      </w:r>
      <w:bookmarkEnd w:id="11"/>
      <w:r w:rsidR="004E3490">
        <w:t>s</w:t>
      </w:r>
      <w:bookmarkEnd w:id="12"/>
    </w:p>
    <w:tbl>
      <w:tblPr>
        <w:tblStyle w:val="TableGrid"/>
        <w:tblW w:w="0" w:type="auto"/>
        <w:tblLook w:val="04E0" w:firstRow="1" w:lastRow="1" w:firstColumn="1" w:lastColumn="0" w:noHBand="0" w:noVBand="1"/>
      </w:tblPr>
      <w:tblGrid>
        <w:gridCol w:w="7366"/>
        <w:gridCol w:w="1650"/>
      </w:tblGrid>
      <w:tr w:rsidR="00026095" w:rsidRPr="009B7F14" w14:paraId="59F404BC" w14:textId="77777777" w:rsidTr="006E4115">
        <w:trPr>
          <w:cnfStyle w:val="100000000000" w:firstRow="1" w:lastRow="0" w:firstColumn="0" w:lastColumn="0" w:oddVBand="0" w:evenVBand="0" w:oddHBand="0" w:evenHBand="0" w:firstRowFirstColumn="0" w:firstRowLastColumn="0" w:lastRowFirstColumn="0" w:lastRowLastColumn="0"/>
          <w:trHeight w:hRule="exact" w:val="397"/>
        </w:trPr>
        <w:tc>
          <w:tcPr>
            <w:tcW w:w="7366" w:type="dxa"/>
            <w:vAlign w:val="center"/>
          </w:tcPr>
          <w:p w14:paraId="39609D59" w14:textId="77777777" w:rsidR="00026095" w:rsidRPr="009B7F14" w:rsidRDefault="00026095" w:rsidP="00E74DEC">
            <w:pPr>
              <w:keepNext/>
              <w:keepLines/>
              <w:spacing w:line="276" w:lineRule="auto"/>
              <w:jc w:val="center"/>
              <w:rPr>
                <w:rFonts w:eastAsia="Times New Roman" w:cs="Times New Roman"/>
                <w:bCs/>
                <w:sz w:val="16"/>
                <w:lang w:eastAsia="en-GB"/>
              </w:rPr>
            </w:pPr>
            <w:r w:rsidRPr="009B7F14">
              <w:rPr>
                <w:rFonts w:eastAsia="Times New Roman" w:cs="Times New Roman"/>
                <w:sz w:val="16"/>
                <w:lang w:eastAsia="en-GB"/>
              </w:rPr>
              <w:t>Heading</w:t>
            </w:r>
          </w:p>
        </w:tc>
        <w:tc>
          <w:tcPr>
            <w:tcW w:w="1650" w:type="dxa"/>
            <w:vAlign w:val="center"/>
          </w:tcPr>
          <w:p w14:paraId="4A8135A6" w14:textId="61704EAD" w:rsidR="00026095" w:rsidRPr="009B7F14" w:rsidRDefault="00026095" w:rsidP="00EF3B6D">
            <w:pPr>
              <w:keepNext/>
              <w:keepLines/>
              <w:spacing w:line="276" w:lineRule="auto"/>
              <w:jc w:val="center"/>
              <w:rPr>
                <w:rFonts w:eastAsia="Times New Roman" w:cs="Times New Roman"/>
                <w:bCs/>
                <w:sz w:val="16"/>
                <w:lang w:eastAsia="en-GB"/>
              </w:rPr>
            </w:pPr>
            <w:r w:rsidRPr="009B7F14">
              <w:rPr>
                <w:rFonts w:eastAsia="Times New Roman" w:cs="Times New Roman"/>
                <w:sz w:val="16"/>
                <w:lang w:eastAsia="en-GB"/>
              </w:rPr>
              <w:t xml:space="preserve">Amount in </w:t>
            </w:r>
            <w:r w:rsidR="00EF3B6D">
              <w:rPr>
                <w:rFonts w:eastAsia="Times New Roman" w:cs="Times New Roman"/>
                <w:sz w:val="16"/>
                <w:lang w:eastAsia="en-GB"/>
              </w:rPr>
              <w:t>EUR</w:t>
            </w:r>
          </w:p>
        </w:tc>
      </w:tr>
      <w:tr w:rsidR="00026095" w:rsidRPr="009B7F14" w14:paraId="15CD2548" w14:textId="77777777" w:rsidTr="006E4115">
        <w:trPr>
          <w:trHeight w:hRule="exact" w:val="397"/>
        </w:trPr>
        <w:tc>
          <w:tcPr>
            <w:tcW w:w="7366" w:type="dxa"/>
            <w:vAlign w:val="center"/>
          </w:tcPr>
          <w:p w14:paraId="01667B90" w14:textId="77777777" w:rsidR="00026095" w:rsidRPr="009B7F14" w:rsidRDefault="00026095" w:rsidP="00281423">
            <w:pPr>
              <w:keepNext/>
              <w:keepLines/>
              <w:spacing w:line="276" w:lineRule="auto"/>
              <w:jc w:val="left"/>
              <w:rPr>
                <w:rFonts w:eastAsia="Times New Roman" w:cs="Times New Roman"/>
                <w:b/>
                <w:bCs/>
                <w:color w:val="000000"/>
                <w:sz w:val="16"/>
                <w:lang w:eastAsia="en-GB"/>
              </w:rPr>
            </w:pPr>
            <w:r w:rsidRPr="009B7F14">
              <w:rPr>
                <w:rFonts w:eastAsia="Times New Roman" w:cs="Times New Roman"/>
                <w:color w:val="000000"/>
                <w:sz w:val="16"/>
                <w:lang w:eastAsia="en-GB"/>
              </w:rPr>
              <w:t xml:space="preserve">Programme elaboration – </w:t>
            </w:r>
            <w:r w:rsidR="00281423" w:rsidRPr="009B7F14">
              <w:rPr>
                <w:rFonts w:eastAsia="Times New Roman" w:cs="Times New Roman"/>
                <w:color w:val="000000"/>
                <w:sz w:val="16"/>
                <w:lang w:eastAsia="en-GB"/>
              </w:rPr>
              <w:t>u</w:t>
            </w:r>
            <w:r w:rsidRPr="009B7F14">
              <w:rPr>
                <w:rFonts w:eastAsia="Times New Roman" w:cs="Times New Roman"/>
                <w:color w:val="000000"/>
                <w:sz w:val="16"/>
                <w:lang w:eastAsia="en-GB"/>
              </w:rPr>
              <w:t>ntil approval (</w:t>
            </w:r>
            <w:r w:rsidR="00DC28D5" w:rsidRPr="009B7F14">
              <w:rPr>
                <w:rFonts w:eastAsia="Times New Roman" w:cs="Times New Roman"/>
                <w:color w:val="000000"/>
                <w:sz w:val="16"/>
                <w:lang w:eastAsia="en-GB"/>
              </w:rPr>
              <w:t xml:space="preserve">Reg. Art. </w:t>
            </w:r>
            <w:r w:rsidR="00D83EC9" w:rsidRPr="009B7F14">
              <w:rPr>
                <w:sz w:val="16"/>
              </w:rPr>
              <w:t>8.10.4 (</w:t>
            </w:r>
            <w:r w:rsidRPr="009B7F14">
              <w:rPr>
                <w:sz w:val="16"/>
              </w:rPr>
              <w:t>a</w:t>
            </w:r>
            <w:r w:rsidR="00D83EC9" w:rsidRPr="009B7F14">
              <w:rPr>
                <w:sz w:val="16"/>
              </w:rPr>
              <w:t>)</w:t>
            </w:r>
            <w:r w:rsidRPr="009B7F14">
              <w:rPr>
                <w:sz w:val="16"/>
              </w:rPr>
              <w:t>)</w:t>
            </w:r>
          </w:p>
        </w:tc>
        <w:tc>
          <w:tcPr>
            <w:tcW w:w="1650" w:type="dxa"/>
          </w:tcPr>
          <w:p w14:paraId="539EFFEE" w14:textId="77777777" w:rsidR="00026095" w:rsidRPr="009B7F14" w:rsidRDefault="00026095" w:rsidP="00E74DEC">
            <w:pPr>
              <w:keepNext/>
              <w:keepLines/>
              <w:spacing w:line="276" w:lineRule="auto"/>
              <w:rPr>
                <w:rFonts w:eastAsia="Times New Roman" w:cs="Times New Roman"/>
                <w:bCs/>
                <w:color w:val="000000"/>
                <w:sz w:val="16"/>
                <w:lang w:eastAsia="en-GB"/>
              </w:rPr>
            </w:pPr>
          </w:p>
        </w:tc>
      </w:tr>
      <w:tr w:rsidR="00026095" w:rsidRPr="009B7F14" w14:paraId="1962FBFA" w14:textId="77777777" w:rsidTr="006E4115">
        <w:trPr>
          <w:trHeight w:hRule="exact" w:val="397"/>
        </w:trPr>
        <w:tc>
          <w:tcPr>
            <w:tcW w:w="7366" w:type="dxa"/>
            <w:vAlign w:val="center"/>
            <w:hideMark/>
          </w:tcPr>
          <w:p w14:paraId="7A1BF599" w14:textId="3BDCDB10" w:rsidR="00026095" w:rsidRPr="009B7F14" w:rsidRDefault="00231058" w:rsidP="00E74DEC">
            <w:pPr>
              <w:keepNext/>
              <w:keepLines/>
              <w:spacing w:line="276" w:lineRule="auto"/>
              <w:jc w:val="left"/>
              <w:rPr>
                <w:rFonts w:eastAsia="Times New Roman" w:cs="Times New Roman"/>
                <w:b/>
                <w:bCs/>
                <w:color w:val="000000"/>
                <w:sz w:val="16"/>
                <w:lang w:eastAsia="en-GB"/>
              </w:rPr>
            </w:pPr>
            <w:r>
              <w:rPr>
                <w:rFonts w:eastAsia="Times New Roman" w:cs="Times New Roman"/>
                <w:color w:val="000000"/>
                <w:sz w:val="16"/>
                <w:lang w:eastAsia="en-GB"/>
              </w:rPr>
              <w:t>Preparation of programme i</w:t>
            </w:r>
            <w:r w:rsidR="00026095" w:rsidRPr="009B7F14">
              <w:rPr>
                <w:rFonts w:eastAsia="Times New Roman" w:cs="Times New Roman"/>
                <w:color w:val="000000"/>
                <w:sz w:val="16"/>
                <w:lang w:eastAsia="en-GB"/>
              </w:rPr>
              <w:t>mplementation (</w:t>
            </w:r>
            <w:r w:rsidR="00DC28D5" w:rsidRPr="009B7F14">
              <w:rPr>
                <w:rFonts w:eastAsia="Times New Roman" w:cs="Times New Roman"/>
                <w:color w:val="000000"/>
                <w:sz w:val="16"/>
                <w:lang w:eastAsia="en-GB"/>
              </w:rPr>
              <w:t xml:space="preserve">Reg. Art. </w:t>
            </w:r>
            <w:r w:rsidR="00026095" w:rsidRPr="009B7F14">
              <w:rPr>
                <w:rFonts w:eastAsia="Times New Roman" w:cs="Times New Roman"/>
                <w:color w:val="000000"/>
                <w:sz w:val="16"/>
                <w:lang w:eastAsia="en-GB"/>
              </w:rPr>
              <w:t>8</w:t>
            </w:r>
            <w:r w:rsidR="00D83EC9" w:rsidRPr="009B7F14">
              <w:rPr>
                <w:sz w:val="16"/>
              </w:rPr>
              <w:t>.10.4 (</w:t>
            </w:r>
            <w:r w:rsidR="00026095" w:rsidRPr="009B7F14">
              <w:rPr>
                <w:sz w:val="16"/>
              </w:rPr>
              <w:t>b</w:t>
            </w:r>
            <w:r w:rsidR="00D83EC9" w:rsidRPr="009B7F14">
              <w:rPr>
                <w:sz w:val="16"/>
              </w:rPr>
              <w:t>)</w:t>
            </w:r>
            <w:r w:rsidR="00026095" w:rsidRPr="009B7F14">
              <w:rPr>
                <w:sz w:val="16"/>
              </w:rPr>
              <w:t>)</w:t>
            </w:r>
          </w:p>
        </w:tc>
        <w:tc>
          <w:tcPr>
            <w:tcW w:w="1650" w:type="dxa"/>
          </w:tcPr>
          <w:p w14:paraId="1DA9E280" w14:textId="77777777" w:rsidR="00026095" w:rsidRPr="009B7F14" w:rsidRDefault="00026095" w:rsidP="00E74DEC">
            <w:pPr>
              <w:keepNext/>
              <w:keepLines/>
              <w:spacing w:line="276" w:lineRule="auto"/>
              <w:rPr>
                <w:rFonts w:eastAsia="Times New Roman" w:cs="Times New Roman"/>
                <w:bCs/>
                <w:color w:val="000000"/>
                <w:sz w:val="16"/>
                <w:lang w:eastAsia="en-GB"/>
              </w:rPr>
            </w:pPr>
          </w:p>
        </w:tc>
      </w:tr>
      <w:tr w:rsidR="00026095" w:rsidRPr="009B7F14" w14:paraId="1105777C" w14:textId="77777777" w:rsidTr="006E4115">
        <w:trPr>
          <w:trHeight w:hRule="exact" w:val="397"/>
        </w:trPr>
        <w:tc>
          <w:tcPr>
            <w:tcW w:w="7366" w:type="dxa"/>
            <w:vAlign w:val="center"/>
            <w:hideMark/>
          </w:tcPr>
          <w:p w14:paraId="0569777F" w14:textId="77777777" w:rsidR="00026095" w:rsidRPr="009B7F14" w:rsidRDefault="00026095" w:rsidP="00E74DEC">
            <w:pPr>
              <w:keepNext/>
              <w:keepLines/>
              <w:spacing w:line="276" w:lineRule="auto"/>
              <w:jc w:val="left"/>
              <w:rPr>
                <w:rFonts w:eastAsia="Times New Roman" w:cs="Times New Roman"/>
                <w:b/>
                <w:bCs/>
                <w:color w:val="000000"/>
                <w:sz w:val="16"/>
                <w:lang w:eastAsia="en-GB"/>
              </w:rPr>
            </w:pPr>
            <w:r w:rsidRPr="009B7F14">
              <w:rPr>
                <w:rFonts w:eastAsia="Times New Roman" w:cs="Times New Roman"/>
                <w:color w:val="000000"/>
                <w:sz w:val="16"/>
                <w:lang w:eastAsia="en-GB"/>
              </w:rPr>
              <w:t>Project</w:t>
            </w:r>
            <w:r w:rsidR="001D1275" w:rsidRPr="009B7F14">
              <w:rPr>
                <w:rFonts w:eastAsia="Times New Roman" w:cs="Times New Roman"/>
                <w:color w:val="000000"/>
                <w:sz w:val="16"/>
                <w:lang w:eastAsia="en-GB"/>
              </w:rPr>
              <w:t>s</w:t>
            </w:r>
            <w:r w:rsidRPr="009B7F14">
              <w:rPr>
                <w:rFonts w:eastAsia="Times New Roman" w:cs="Times New Roman"/>
                <w:color w:val="000000"/>
                <w:sz w:val="16"/>
                <w:lang w:eastAsia="en-GB"/>
              </w:rPr>
              <w:t xml:space="preserve"> appraisal and selection (</w:t>
            </w:r>
            <w:r w:rsidR="00DC28D5" w:rsidRPr="009B7F14">
              <w:rPr>
                <w:rFonts w:eastAsia="Times New Roman" w:cs="Times New Roman"/>
                <w:color w:val="000000"/>
                <w:sz w:val="16"/>
                <w:lang w:eastAsia="en-GB"/>
              </w:rPr>
              <w:t xml:space="preserve">Reg. Art. </w:t>
            </w:r>
            <w:r w:rsidRPr="009B7F14">
              <w:rPr>
                <w:rFonts w:eastAsia="Times New Roman" w:cs="Times New Roman"/>
                <w:color w:val="000000"/>
                <w:sz w:val="16"/>
                <w:lang w:eastAsia="en-GB"/>
              </w:rPr>
              <w:t>8</w:t>
            </w:r>
            <w:r w:rsidR="00D83EC9" w:rsidRPr="009B7F14">
              <w:rPr>
                <w:sz w:val="16"/>
              </w:rPr>
              <w:t>.10.4 (</w:t>
            </w:r>
            <w:r w:rsidRPr="009B7F14">
              <w:rPr>
                <w:sz w:val="16"/>
              </w:rPr>
              <w:t>c</w:t>
            </w:r>
            <w:r w:rsidR="00D83EC9" w:rsidRPr="009B7F14">
              <w:rPr>
                <w:sz w:val="16"/>
              </w:rPr>
              <w:t>)</w:t>
            </w:r>
            <w:r w:rsidRPr="009B7F14">
              <w:rPr>
                <w:sz w:val="16"/>
              </w:rPr>
              <w:t>/</w:t>
            </w:r>
            <w:r w:rsidR="00D83EC9" w:rsidRPr="009B7F14">
              <w:rPr>
                <w:sz w:val="16"/>
              </w:rPr>
              <w:t>(</w:t>
            </w:r>
            <w:r w:rsidRPr="009B7F14">
              <w:rPr>
                <w:sz w:val="16"/>
              </w:rPr>
              <w:t>d</w:t>
            </w:r>
            <w:r w:rsidR="00D83EC9" w:rsidRPr="009B7F14">
              <w:rPr>
                <w:sz w:val="16"/>
              </w:rPr>
              <w:t>)</w:t>
            </w:r>
            <w:r w:rsidRPr="009B7F14">
              <w:rPr>
                <w:sz w:val="16"/>
              </w:rPr>
              <w:t>)</w:t>
            </w:r>
          </w:p>
        </w:tc>
        <w:tc>
          <w:tcPr>
            <w:tcW w:w="1650" w:type="dxa"/>
          </w:tcPr>
          <w:p w14:paraId="3A19F62A" w14:textId="77777777" w:rsidR="00026095" w:rsidRPr="009B7F14" w:rsidRDefault="00026095" w:rsidP="00E74DEC">
            <w:pPr>
              <w:keepNext/>
              <w:keepLines/>
              <w:spacing w:line="276" w:lineRule="auto"/>
              <w:rPr>
                <w:rFonts w:eastAsia="Times New Roman" w:cs="Times New Roman"/>
                <w:bCs/>
                <w:color w:val="000000"/>
                <w:sz w:val="16"/>
                <w:lang w:eastAsia="en-GB"/>
              </w:rPr>
            </w:pPr>
          </w:p>
        </w:tc>
      </w:tr>
      <w:tr w:rsidR="00026095" w:rsidRPr="009B7F14" w14:paraId="341AC3A9" w14:textId="77777777" w:rsidTr="00AB4387">
        <w:trPr>
          <w:trHeight w:hRule="exact" w:val="448"/>
        </w:trPr>
        <w:tc>
          <w:tcPr>
            <w:tcW w:w="7366" w:type="dxa"/>
            <w:vAlign w:val="center"/>
          </w:tcPr>
          <w:p w14:paraId="19C59BCD" w14:textId="0ACB7026" w:rsidR="00026095" w:rsidRPr="009B7F14" w:rsidRDefault="00120ADA" w:rsidP="00E74DEC">
            <w:pPr>
              <w:keepNext/>
              <w:keepLines/>
              <w:spacing w:line="276" w:lineRule="auto"/>
              <w:jc w:val="left"/>
              <w:rPr>
                <w:rFonts w:eastAsia="Times New Roman" w:cs="Times New Roman"/>
                <w:b/>
                <w:bCs/>
                <w:color w:val="000000"/>
                <w:sz w:val="16"/>
                <w:lang w:eastAsia="en-GB"/>
              </w:rPr>
            </w:pPr>
            <w:r w:rsidRPr="00120ADA">
              <w:rPr>
                <w:rFonts w:eastAsia="Times New Roman" w:cs="Times New Roman"/>
                <w:color w:val="000000"/>
                <w:sz w:val="16"/>
                <w:lang w:eastAsia="en-GB"/>
              </w:rPr>
              <w:t>Monitoring and audits (Reg. Art. 8.10 (e), (f), (g))</w:t>
            </w:r>
          </w:p>
        </w:tc>
        <w:tc>
          <w:tcPr>
            <w:tcW w:w="1650" w:type="dxa"/>
          </w:tcPr>
          <w:p w14:paraId="4CF6D373" w14:textId="77777777" w:rsidR="00026095" w:rsidRPr="009B7F14" w:rsidRDefault="00026095" w:rsidP="00E74DEC">
            <w:pPr>
              <w:keepNext/>
              <w:keepLines/>
              <w:spacing w:line="276" w:lineRule="auto"/>
              <w:rPr>
                <w:rFonts w:eastAsia="Times New Roman" w:cs="Times New Roman"/>
                <w:bCs/>
                <w:color w:val="000000"/>
                <w:sz w:val="16"/>
                <w:lang w:eastAsia="en-GB"/>
              </w:rPr>
            </w:pPr>
          </w:p>
        </w:tc>
      </w:tr>
      <w:tr w:rsidR="00026095" w:rsidRPr="009B7F14" w14:paraId="3BCB8ECB" w14:textId="77777777" w:rsidTr="006E4115">
        <w:trPr>
          <w:trHeight w:hRule="exact" w:val="397"/>
        </w:trPr>
        <w:tc>
          <w:tcPr>
            <w:tcW w:w="7366" w:type="dxa"/>
            <w:vAlign w:val="center"/>
            <w:hideMark/>
          </w:tcPr>
          <w:p w14:paraId="019C1564" w14:textId="77777777" w:rsidR="00026095" w:rsidRPr="009B7F14" w:rsidRDefault="00026095" w:rsidP="00E74DEC">
            <w:pPr>
              <w:keepNext/>
              <w:keepLines/>
              <w:spacing w:line="276" w:lineRule="auto"/>
              <w:jc w:val="left"/>
              <w:rPr>
                <w:rFonts w:eastAsia="Times New Roman" w:cs="Times New Roman"/>
                <w:b/>
                <w:bCs/>
                <w:color w:val="000000"/>
                <w:sz w:val="16"/>
                <w:lang w:eastAsia="en-GB"/>
              </w:rPr>
            </w:pPr>
            <w:r w:rsidRPr="009B7F14">
              <w:rPr>
                <w:rFonts w:eastAsia="Times New Roman" w:cs="Times New Roman"/>
                <w:color w:val="000000"/>
                <w:sz w:val="16"/>
                <w:lang w:eastAsia="en-GB"/>
              </w:rPr>
              <w:t>Promotion</w:t>
            </w:r>
            <w:r w:rsidR="00427039" w:rsidRPr="009B7F14">
              <w:rPr>
                <w:rFonts w:eastAsia="Times New Roman" w:cs="Times New Roman"/>
                <w:color w:val="000000"/>
                <w:sz w:val="16"/>
                <w:lang w:eastAsia="en-GB"/>
              </w:rPr>
              <w:t>al</w:t>
            </w:r>
            <w:r w:rsidRPr="009B7F14">
              <w:rPr>
                <w:rFonts w:eastAsia="Times New Roman" w:cs="Times New Roman"/>
                <w:color w:val="000000"/>
                <w:sz w:val="16"/>
                <w:lang w:eastAsia="en-GB"/>
              </w:rPr>
              <w:t xml:space="preserve"> and information</w:t>
            </w:r>
            <w:r w:rsidR="00427039" w:rsidRPr="009B7F14">
              <w:rPr>
                <w:rFonts w:eastAsia="Times New Roman" w:cs="Times New Roman"/>
                <w:color w:val="000000"/>
                <w:sz w:val="16"/>
                <w:lang w:eastAsia="en-GB"/>
              </w:rPr>
              <w:t xml:space="preserve"> activities</w:t>
            </w:r>
            <w:r w:rsidRPr="009B7F14">
              <w:rPr>
                <w:rFonts w:eastAsia="Times New Roman" w:cs="Times New Roman"/>
                <w:color w:val="000000"/>
                <w:sz w:val="16"/>
                <w:lang w:eastAsia="en-GB"/>
              </w:rPr>
              <w:t xml:space="preserve"> (</w:t>
            </w:r>
            <w:r w:rsidR="00DC28D5" w:rsidRPr="009B7F14">
              <w:rPr>
                <w:rFonts w:eastAsia="Times New Roman" w:cs="Times New Roman"/>
                <w:color w:val="000000"/>
                <w:sz w:val="16"/>
                <w:lang w:eastAsia="en-GB"/>
              </w:rPr>
              <w:t xml:space="preserve">Reg. Art. </w:t>
            </w:r>
            <w:r w:rsidR="00D83EC9" w:rsidRPr="009B7F14">
              <w:rPr>
                <w:sz w:val="16"/>
              </w:rPr>
              <w:t>8.10.4 (</w:t>
            </w:r>
            <w:r w:rsidRPr="009B7F14">
              <w:rPr>
                <w:rFonts w:eastAsia="Times New Roman" w:cs="Times New Roman"/>
                <w:color w:val="000000"/>
                <w:sz w:val="16"/>
                <w:lang w:eastAsia="en-GB"/>
              </w:rPr>
              <w:t>h</w:t>
            </w:r>
            <w:r w:rsidR="00D83EC9" w:rsidRPr="009B7F14">
              <w:rPr>
                <w:rFonts w:eastAsia="Times New Roman" w:cs="Times New Roman"/>
                <w:color w:val="000000"/>
                <w:sz w:val="16"/>
                <w:lang w:eastAsia="en-GB"/>
              </w:rPr>
              <w:t>)</w:t>
            </w:r>
            <w:r w:rsidRPr="009B7F14">
              <w:rPr>
                <w:rFonts w:eastAsia="Times New Roman" w:cs="Times New Roman"/>
                <w:color w:val="000000"/>
                <w:sz w:val="16"/>
                <w:lang w:eastAsia="en-GB"/>
              </w:rPr>
              <w:t>)</w:t>
            </w:r>
          </w:p>
        </w:tc>
        <w:tc>
          <w:tcPr>
            <w:tcW w:w="1650" w:type="dxa"/>
          </w:tcPr>
          <w:p w14:paraId="5BED5B11" w14:textId="77777777" w:rsidR="00026095" w:rsidRPr="009B7F14" w:rsidRDefault="00026095" w:rsidP="00E74DEC">
            <w:pPr>
              <w:keepNext/>
              <w:keepLines/>
              <w:spacing w:line="276" w:lineRule="auto"/>
              <w:rPr>
                <w:rFonts w:eastAsia="Times New Roman" w:cs="Times New Roman"/>
                <w:bCs/>
                <w:color w:val="000000"/>
                <w:sz w:val="16"/>
                <w:lang w:eastAsia="en-GB"/>
              </w:rPr>
            </w:pPr>
          </w:p>
        </w:tc>
      </w:tr>
      <w:tr w:rsidR="00026095" w:rsidRPr="009B7F14" w14:paraId="6D7EB3B3" w14:textId="77777777" w:rsidTr="006E4115">
        <w:trPr>
          <w:trHeight w:hRule="exact" w:val="397"/>
        </w:trPr>
        <w:tc>
          <w:tcPr>
            <w:tcW w:w="7366" w:type="dxa"/>
            <w:vAlign w:val="center"/>
            <w:hideMark/>
          </w:tcPr>
          <w:p w14:paraId="0B31CB1B" w14:textId="77777777" w:rsidR="00026095" w:rsidRPr="009B7F14" w:rsidRDefault="00026095" w:rsidP="00E74DEC">
            <w:pPr>
              <w:keepNext/>
              <w:keepLines/>
              <w:spacing w:line="276" w:lineRule="auto"/>
              <w:jc w:val="left"/>
              <w:rPr>
                <w:rFonts w:eastAsia="Times New Roman" w:cs="Times New Roman"/>
                <w:b/>
                <w:bCs/>
                <w:color w:val="000000"/>
                <w:sz w:val="16"/>
                <w:lang w:eastAsia="en-GB"/>
              </w:rPr>
            </w:pPr>
            <w:r w:rsidRPr="009B7F14">
              <w:rPr>
                <w:rFonts w:eastAsia="Times New Roman" w:cs="Times New Roman"/>
                <w:color w:val="000000"/>
                <w:sz w:val="16"/>
                <w:lang w:eastAsia="en-GB"/>
              </w:rPr>
              <w:t>Reporting to donors and national authorities (</w:t>
            </w:r>
            <w:r w:rsidR="00DC28D5" w:rsidRPr="009B7F14">
              <w:rPr>
                <w:rFonts w:eastAsia="Times New Roman" w:cs="Times New Roman"/>
                <w:color w:val="000000"/>
                <w:sz w:val="16"/>
                <w:lang w:eastAsia="en-GB"/>
              </w:rPr>
              <w:t xml:space="preserve">Reg. Art. </w:t>
            </w:r>
            <w:r w:rsidRPr="009B7F14">
              <w:rPr>
                <w:rFonts w:eastAsia="Times New Roman" w:cs="Times New Roman"/>
                <w:color w:val="000000"/>
                <w:sz w:val="16"/>
                <w:lang w:eastAsia="en-GB"/>
              </w:rPr>
              <w:t>8</w:t>
            </w:r>
            <w:r w:rsidR="00D83EC9" w:rsidRPr="009B7F14">
              <w:rPr>
                <w:sz w:val="16"/>
              </w:rPr>
              <w:t>.10.4 (</w:t>
            </w:r>
            <w:r w:rsidRPr="009B7F14">
              <w:rPr>
                <w:rFonts w:eastAsia="Times New Roman" w:cs="Times New Roman"/>
                <w:color w:val="000000"/>
                <w:sz w:val="16"/>
                <w:lang w:eastAsia="en-GB"/>
              </w:rPr>
              <w:t>i</w:t>
            </w:r>
            <w:r w:rsidR="00D83EC9" w:rsidRPr="009B7F14">
              <w:rPr>
                <w:rFonts w:eastAsia="Times New Roman" w:cs="Times New Roman"/>
                <w:color w:val="000000"/>
                <w:sz w:val="16"/>
                <w:lang w:eastAsia="en-GB"/>
              </w:rPr>
              <w:t>)</w:t>
            </w:r>
            <w:r w:rsidRPr="009B7F14">
              <w:rPr>
                <w:rFonts w:eastAsia="Times New Roman" w:cs="Times New Roman"/>
                <w:color w:val="000000"/>
                <w:sz w:val="16"/>
                <w:lang w:eastAsia="en-GB"/>
              </w:rPr>
              <w:t>)</w:t>
            </w:r>
          </w:p>
        </w:tc>
        <w:tc>
          <w:tcPr>
            <w:tcW w:w="1650" w:type="dxa"/>
          </w:tcPr>
          <w:p w14:paraId="1049779E" w14:textId="77777777" w:rsidR="00026095" w:rsidRPr="009B7F14" w:rsidRDefault="00026095" w:rsidP="00E74DEC">
            <w:pPr>
              <w:keepNext/>
              <w:keepLines/>
              <w:spacing w:line="276" w:lineRule="auto"/>
              <w:rPr>
                <w:rFonts w:eastAsia="Times New Roman" w:cs="Times New Roman"/>
                <w:bCs/>
                <w:color w:val="000000"/>
                <w:sz w:val="16"/>
                <w:lang w:eastAsia="en-GB"/>
              </w:rPr>
            </w:pPr>
          </w:p>
        </w:tc>
      </w:tr>
      <w:tr w:rsidR="00026095" w:rsidRPr="009B7F14" w14:paraId="75D8E774" w14:textId="77777777" w:rsidTr="006E4115">
        <w:trPr>
          <w:trHeight w:hRule="exact" w:val="397"/>
        </w:trPr>
        <w:tc>
          <w:tcPr>
            <w:tcW w:w="7366" w:type="dxa"/>
            <w:vAlign w:val="center"/>
            <w:hideMark/>
          </w:tcPr>
          <w:p w14:paraId="30C0C8EC" w14:textId="77777777" w:rsidR="00026095" w:rsidRPr="009B7F14" w:rsidRDefault="00026095" w:rsidP="00E74DEC">
            <w:pPr>
              <w:keepNext/>
              <w:keepLines/>
              <w:spacing w:line="276" w:lineRule="auto"/>
              <w:jc w:val="left"/>
              <w:rPr>
                <w:rFonts w:eastAsia="Times New Roman" w:cs="Times New Roman"/>
                <w:b/>
                <w:bCs/>
                <w:color w:val="000000"/>
                <w:sz w:val="16"/>
                <w:lang w:eastAsia="en-GB"/>
              </w:rPr>
            </w:pPr>
            <w:r w:rsidRPr="009B7F14">
              <w:rPr>
                <w:rFonts w:eastAsia="Times New Roman" w:cs="Times New Roman"/>
                <w:color w:val="000000"/>
                <w:sz w:val="16"/>
                <w:lang w:eastAsia="en-GB"/>
              </w:rPr>
              <w:t>Establishment and operation of bank accounts (</w:t>
            </w:r>
            <w:r w:rsidR="00DC28D5" w:rsidRPr="009B7F14">
              <w:rPr>
                <w:rFonts w:eastAsia="Times New Roman" w:cs="Times New Roman"/>
                <w:color w:val="000000"/>
                <w:sz w:val="16"/>
                <w:lang w:eastAsia="en-GB"/>
              </w:rPr>
              <w:t xml:space="preserve">Reg. Art. </w:t>
            </w:r>
            <w:r w:rsidR="00D83EC9" w:rsidRPr="009B7F14">
              <w:rPr>
                <w:sz w:val="16"/>
              </w:rPr>
              <w:t>8.10.4 (</w:t>
            </w:r>
            <w:r w:rsidRPr="009B7F14">
              <w:rPr>
                <w:rFonts w:eastAsia="Times New Roman" w:cs="Times New Roman"/>
                <w:color w:val="000000"/>
                <w:sz w:val="16"/>
                <w:lang w:eastAsia="en-GB"/>
              </w:rPr>
              <w:t>j</w:t>
            </w:r>
            <w:r w:rsidR="00D83EC9" w:rsidRPr="009B7F14">
              <w:rPr>
                <w:rFonts w:eastAsia="Times New Roman" w:cs="Times New Roman"/>
                <w:color w:val="000000"/>
                <w:sz w:val="16"/>
                <w:lang w:eastAsia="en-GB"/>
              </w:rPr>
              <w:t>)</w:t>
            </w:r>
            <w:r w:rsidRPr="009B7F14">
              <w:rPr>
                <w:rFonts w:eastAsia="Times New Roman" w:cs="Times New Roman"/>
                <w:color w:val="000000"/>
                <w:sz w:val="16"/>
                <w:lang w:eastAsia="en-GB"/>
              </w:rPr>
              <w:t>)</w:t>
            </w:r>
          </w:p>
        </w:tc>
        <w:tc>
          <w:tcPr>
            <w:tcW w:w="1650" w:type="dxa"/>
          </w:tcPr>
          <w:p w14:paraId="6EE8D8FA" w14:textId="77777777" w:rsidR="00026095" w:rsidRPr="009B7F14" w:rsidRDefault="00026095" w:rsidP="00E74DEC">
            <w:pPr>
              <w:keepNext/>
              <w:keepLines/>
              <w:spacing w:line="276" w:lineRule="auto"/>
              <w:rPr>
                <w:rFonts w:eastAsia="Times New Roman" w:cs="Times New Roman"/>
                <w:bCs/>
                <w:color w:val="000000"/>
                <w:sz w:val="16"/>
                <w:lang w:eastAsia="en-GB"/>
              </w:rPr>
            </w:pPr>
          </w:p>
        </w:tc>
      </w:tr>
      <w:tr w:rsidR="00026095" w:rsidRPr="009B7F14" w14:paraId="778CA5E3" w14:textId="77777777" w:rsidTr="006E4115">
        <w:trPr>
          <w:trHeight w:hRule="exact" w:val="397"/>
        </w:trPr>
        <w:tc>
          <w:tcPr>
            <w:tcW w:w="7366" w:type="dxa"/>
            <w:vAlign w:val="center"/>
          </w:tcPr>
          <w:p w14:paraId="1D343811" w14:textId="77777777" w:rsidR="00026095" w:rsidRPr="009B7F14" w:rsidRDefault="00026095" w:rsidP="00E74DEC">
            <w:pPr>
              <w:keepNext/>
              <w:keepLines/>
              <w:spacing w:line="276" w:lineRule="auto"/>
              <w:jc w:val="left"/>
              <w:rPr>
                <w:rFonts w:eastAsia="Times New Roman" w:cs="Times New Roman"/>
                <w:b/>
                <w:bCs/>
                <w:color w:val="000000"/>
                <w:sz w:val="16"/>
                <w:lang w:eastAsia="en-GB"/>
              </w:rPr>
            </w:pPr>
            <w:r w:rsidRPr="009B7F14">
              <w:rPr>
                <w:rFonts w:eastAsia="Times New Roman" w:cs="Times New Roman"/>
                <w:color w:val="000000"/>
                <w:sz w:val="16"/>
                <w:lang w:eastAsia="en-GB"/>
              </w:rPr>
              <w:t>Overheads (</w:t>
            </w:r>
            <w:r w:rsidR="00DC28D5" w:rsidRPr="009B7F14">
              <w:rPr>
                <w:rFonts w:eastAsia="Times New Roman" w:cs="Times New Roman"/>
                <w:color w:val="000000"/>
                <w:sz w:val="16"/>
                <w:lang w:eastAsia="en-GB"/>
              </w:rPr>
              <w:t xml:space="preserve">Reg. Art. </w:t>
            </w:r>
            <w:r w:rsidR="0005321B" w:rsidRPr="009B7F14">
              <w:rPr>
                <w:rFonts w:eastAsia="Times New Roman" w:cs="Times New Roman"/>
                <w:color w:val="000000"/>
                <w:sz w:val="16"/>
                <w:lang w:eastAsia="en-GB"/>
              </w:rPr>
              <w:t>8.10.4 (</w:t>
            </w:r>
            <w:r w:rsidRPr="009B7F14">
              <w:rPr>
                <w:rFonts w:eastAsia="Times New Roman" w:cs="Times New Roman"/>
                <w:color w:val="000000"/>
                <w:sz w:val="16"/>
                <w:lang w:eastAsia="en-GB"/>
              </w:rPr>
              <w:t>k</w:t>
            </w:r>
            <w:r w:rsidR="0005321B" w:rsidRPr="009B7F14">
              <w:rPr>
                <w:rFonts w:eastAsia="Times New Roman" w:cs="Times New Roman"/>
                <w:color w:val="000000"/>
                <w:sz w:val="16"/>
                <w:lang w:eastAsia="en-GB"/>
              </w:rPr>
              <w:t>)</w:t>
            </w:r>
            <w:r w:rsidRPr="009B7F14">
              <w:rPr>
                <w:rFonts w:eastAsia="Times New Roman" w:cs="Times New Roman"/>
                <w:color w:val="000000"/>
                <w:sz w:val="16"/>
                <w:lang w:eastAsia="en-GB"/>
              </w:rPr>
              <w:t>)</w:t>
            </w:r>
          </w:p>
        </w:tc>
        <w:tc>
          <w:tcPr>
            <w:tcW w:w="1650" w:type="dxa"/>
          </w:tcPr>
          <w:p w14:paraId="77579F71" w14:textId="77777777" w:rsidR="00026095" w:rsidRPr="009B7F14" w:rsidRDefault="00026095" w:rsidP="00E74DEC">
            <w:pPr>
              <w:keepNext/>
              <w:keepLines/>
              <w:spacing w:line="276" w:lineRule="auto"/>
              <w:rPr>
                <w:rFonts w:eastAsia="Times New Roman" w:cs="Times New Roman"/>
                <w:bCs/>
                <w:color w:val="000000"/>
                <w:sz w:val="16"/>
                <w:lang w:eastAsia="en-GB"/>
              </w:rPr>
            </w:pPr>
          </w:p>
        </w:tc>
      </w:tr>
      <w:tr w:rsidR="00026095" w:rsidRPr="009B7F14" w14:paraId="4B228111" w14:textId="77777777" w:rsidTr="006E4115">
        <w:trPr>
          <w:trHeight w:hRule="exact" w:val="397"/>
        </w:trPr>
        <w:tc>
          <w:tcPr>
            <w:tcW w:w="7366" w:type="dxa"/>
            <w:vAlign w:val="center"/>
          </w:tcPr>
          <w:p w14:paraId="69C4EEC6" w14:textId="77777777" w:rsidR="00026095" w:rsidRPr="009B7F14" w:rsidRDefault="00026095" w:rsidP="00427039">
            <w:pPr>
              <w:keepNext/>
              <w:keepLines/>
              <w:spacing w:line="276" w:lineRule="auto"/>
              <w:jc w:val="left"/>
              <w:rPr>
                <w:rFonts w:eastAsia="Times New Roman" w:cs="Times New Roman"/>
                <w:b/>
                <w:bCs/>
                <w:color w:val="000000"/>
                <w:sz w:val="16"/>
                <w:lang w:eastAsia="en-GB"/>
              </w:rPr>
            </w:pPr>
            <w:r w:rsidRPr="009B7F14">
              <w:rPr>
                <w:rFonts w:eastAsia="Times New Roman" w:cs="Times New Roman"/>
                <w:color w:val="000000"/>
                <w:sz w:val="16"/>
                <w:lang w:eastAsia="en-GB"/>
              </w:rPr>
              <w:t xml:space="preserve">Expenditure related to </w:t>
            </w:r>
            <w:r w:rsidR="00427039" w:rsidRPr="009B7F14">
              <w:rPr>
                <w:rFonts w:eastAsia="Times New Roman" w:cs="Times New Roman"/>
                <w:color w:val="000000"/>
                <w:sz w:val="16"/>
                <w:lang w:eastAsia="en-GB"/>
              </w:rPr>
              <w:t>the C</w:t>
            </w:r>
            <w:r w:rsidRPr="009B7F14">
              <w:rPr>
                <w:rFonts w:eastAsia="Times New Roman" w:cs="Times New Roman"/>
                <w:color w:val="000000"/>
                <w:sz w:val="16"/>
                <w:lang w:eastAsia="en-GB"/>
              </w:rPr>
              <w:t xml:space="preserve">ooperation </w:t>
            </w:r>
            <w:r w:rsidR="00427039" w:rsidRPr="009B7F14">
              <w:rPr>
                <w:rFonts w:eastAsia="Times New Roman" w:cs="Times New Roman"/>
                <w:color w:val="000000"/>
                <w:sz w:val="16"/>
                <w:lang w:eastAsia="en-GB"/>
              </w:rPr>
              <w:t>C</w:t>
            </w:r>
            <w:r w:rsidRPr="009B7F14">
              <w:rPr>
                <w:rFonts w:eastAsia="Times New Roman" w:cs="Times New Roman"/>
                <w:color w:val="000000"/>
                <w:sz w:val="16"/>
                <w:lang w:eastAsia="en-GB"/>
              </w:rPr>
              <w:t>ommittee (</w:t>
            </w:r>
            <w:r w:rsidR="00DC28D5" w:rsidRPr="009B7F14">
              <w:rPr>
                <w:rFonts w:eastAsia="Times New Roman" w:cs="Times New Roman"/>
                <w:color w:val="000000"/>
                <w:sz w:val="16"/>
                <w:lang w:eastAsia="en-GB"/>
              </w:rPr>
              <w:t xml:space="preserve">Reg. Art. </w:t>
            </w:r>
            <w:r w:rsidR="00CA2FAA" w:rsidRPr="009B7F14">
              <w:rPr>
                <w:rFonts w:eastAsia="Times New Roman" w:cs="Times New Roman"/>
                <w:color w:val="000000"/>
                <w:sz w:val="16"/>
                <w:lang w:eastAsia="en-GB"/>
              </w:rPr>
              <w:t>8.10</w:t>
            </w:r>
            <w:r w:rsidR="00A13467" w:rsidRPr="009B7F14">
              <w:rPr>
                <w:rFonts w:eastAsia="Times New Roman" w:cs="Times New Roman"/>
                <w:color w:val="000000"/>
                <w:sz w:val="16"/>
                <w:lang w:eastAsia="en-GB"/>
              </w:rPr>
              <w:t>.4</w:t>
            </w:r>
            <w:r w:rsidR="00CA2FAA" w:rsidRPr="009B7F14">
              <w:rPr>
                <w:rFonts w:eastAsia="Times New Roman" w:cs="Times New Roman"/>
                <w:color w:val="000000"/>
                <w:sz w:val="16"/>
                <w:lang w:eastAsia="en-GB"/>
              </w:rPr>
              <w:t xml:space="preserve"> (</w:t>
            </w:r>
            <w:r w:rsidRPr="009B7F14">
              <w:rPr>
                <w:rFonts w:eastAsia="Times New Roman" w:cs="Times New Roman"/>
                <w:color w:val="000000"/>
                <w:sz w:val="16"/>
                <w:lang w:eastAsia="en-GB"/>
              </w:rPr>
              <w:t>l</w:t>
            </w:r>
            <w:r w:rsidR="00CA2FAA" w:rsidRPr="009B7F14">
              <w:rPr>
                <w:rFonts w:eastAsia="Times New Roman" w:cs="Times New Roman"/>
                <w:color w:val="000000"/>
                <w:sz w:val="16"/>
                <w:lang w:eastAsia="en-GB"/>
              </w:rPr>
              <w:t>)</w:t>
            </w:r>
            <w:r w:rsidRPr="009B7F14">
              <w:rPr>
                <w:rFonts w:eastAsia="Times New Roman" w:cs="Times New Roman"/>
                <w:color w:val="000000"/>
                <w:sz w:val="16"/>
                <w:lang w:eastAsia="en-GB"/>
              </w:rPr>
              <w:t>)</w:t>
            </w:r>
          </w:p>
        </w:tc>
        <w:tc>
          <w:tcPr>
            <w:tcW w:w="1650" w:type="dxa"/>
          </w:tcPr>
          <w:p w14:paraId="4308FEC4" w14:textId="77777777" w:rsidR="00026095" w:rsidRPr="009B7F14" w:rsidRDefault="00026095" w:rsidP="00E74DEC">
            <w:pPr>
              <w:keepNext/>
              <w:keepLines/>
              <w:spacing w:line="276" w:lineRule="auto"/>
              <w:rPr>
                <w:rFonts w:eastAsia="Times New Roman" w:cs="Times New Roman"/>
                <w:bCs/>
                <w:color w:val="000000"/>
                <w:sz w:val="16"/>
                <w:lang w:eastAsia="en-GB"/>
              </w:rPr>
            </w:pPr>
          </w:p>
        </w:tc>
      </w:tr>
      <w:tr w:rsidR="00026095" w:rsidRPr="009B7F14" w14:paraId="5437C44A" w14:textId="77777777" w:rsidTr="006E4115">
        <w:trPr>
          <w:trHeight w:hRule="exact" w:val="397"/>
        </w:trPr>
        <w:tc>
          <w:tcPr>
            <w:tcW w:w="7366" w:type="dxa"/>
            <w:vAlign w:val="center"/>
            <w:hideMark/>
          </w:tcPr>
          <w:p w14:paraId="05BE372E" w14:textId="77777777" w:rsidR="00026095" w:rsidRPr="009B7F14" w:rsidRDefault="00427039" w:rsidP="00427039">
            <w:pPr>
              <w:keepNext/>
              <w:keepLines/>
              <w:spacing w:line="276" w:lineRule="auto"/>
              <w:jc w:val="left"/>
              <w:rPr>
                <w:rFonts w:eastAsia="Times New Roman" w:cs="Times New Roman"/>
                <w:b/>
                <w:bCs/>
                <w:color w:val="000000"/>
                <w:sz w:val="16"/>
                <w:lang w:eastAsia="en-GB"/>
              </w:rPr>
            </w:pPr>
            <w:r w:rsidRPr="009B7F14">
              <w:rPr>
                <w:rFonts w:eastAsia="Times New Roman" w:cs="Times New Roman"/>
                <w:color w:val="000000"/>
                <w:sz w:val="16"/>
                <w:lang w:eastAsia="en-GB"/>
              </w:rPr>
              <w:t xml:space="preserve">Expenditures </w:t>
            </w:r>
            <w:r w:rsidR="00026095" w:rsidRPr="009B7F14">
              <w:rPr>
                <w:rFonts w:eastAsia="Times New Roman" w:cs="Times New Roman"/>
                <w:color w:val="000000"/>
                <w:sz w:val="16"/>
                <w:lang w:eastAsia="en-GB"/>
              </w:rPr>
              <w:t xml:space="preserve">related to </w:t>
            </w:r>
            <w:r w:rsidRPr="009B7F14">
              <w:rPr>
                <w:rFonts w:eastAsia="Times New Roman" w:cs="Times New Roman"/>
                <w:color w:val="000000"/>
                <w:sz w:val="16"/>
                <w:lang w:eastAsia="en-GB"/>
              </w:rPr>
              <w:t>the s</w:t>
            </w:r>
            <w:bookmarkStart w:id="13" w:name="_GoBack"/>
            <w:bookmarkEnd w:id="13"/>
            <w:r w:rsidRPr="009B7F14">
              <w:rPr>
                <w:rFonts w:eastAsia="Times New Roman" w:cs="Times New Roman"/>
                <w:color w:val="000000"/>
                <w:sz w:val="16"/>
                <w:lang w:eastAsia="en-GB"/>
              </w:rPr>
              <w:t xml:space="preserve">trengthening of </w:t>
            </w:r>
            <w:r w:rsidR="00026095" w:rsidRPr="009B7F14">
              <w:rPr>
                <w:rFonts w:eastAsia="Times New Roman" w:cs="Times New Roman"/>
                <w:color w:val="000000"/>
                <w:sz w:val="16"/>
                <w:lang w:eastAsia="en-GB"/>
              </w:rPr>
              <w:t>bilateral relation</w:t>
            </w:r>
            <w:r w:rsidRPr="009B7F14">
              <w:rPr>
                <w:rFonts w:eastAsia="Times New Roman" w:cs="Times New Roman"/>
                <w:color w:val="000000"/>
                <w:sz w:val="16"/>
                <w:lang w:eastAsia="en-GB"/>
              </w:rPr>
              <w:t>s</w:t>
            </w:r>
            <w:r w:rsidR="00026095" w:rsidRPr="009B7F14">
              <w:rPr>
                <w:rFonts w:eastAsia="Times New Roman" w:cs="Times New Roman"/>
                <w:color w:val="000000"/>
                <w:sz w:val="16"/>
                <w:lang w:eastAsia="en-GB"/>
              </w:rPr>
              <w:t xml:space="preserve"> (</w:t>
            </w:r>
            <w:r w:rsidR="00DC28D5" w:rsidRPr="009B7F14">
              <w:rPr>
                <w:rFonts w:eastAsia="Times New Roman" w:cs="Times New Roman"/>
                <w:color w:val="000000"/>
                <w:sz w:val="16"/>
                <w:lang w:eastAsia="en-GB"/>
              </w:rPr>
              <w:t xml:space="preserve">Reg. Art. </w:t>
            </w:r>
            <w:r w:rsidR="00026095" w:rsidRPr="009B7F14">
              <w:rPr>
                <w:rFonts w:eastAsia="Times New Roman" w:cs="Times New Roman"/>
                <w:color w:val="000000"/>
                <w:sz w:val="16"/>
                <w:lang w:eastAsia="en-GB"/>
              </w:rPr>
              <w:t>8</w:t>
            </w:r>
            <w:r w:rsidR="00026095" w:rsidRPr="009B7F14">
              <w:rPr>
                <w:sz w:val="16"/>
              </w:rPr>
              <w:t>.10</w:t>
            </w:r>
            <w:r w:rsidR="00CA2FAA" w:rsidRPr="009B7F14">
              <w:rPr>
                <w:sz w:val="16"/>
              </w:rPr>
              <w:t>.4 (</w:t>
            </w:r>
            <w:r w:rsidR="00026095" w:rsidRPr="009B7F14">
              <w:rPr>
                <w:sz w:val="16"/>
              </w:rPr>
              <w:t>m</w:t>
            </w:r>
            <w:r w:rsidR="00CA2FAA" w:rsidRPr="009B7F14">
              <w:rPr>
                <w:sz w:val="16"/>
              </w:rPr>
              <w:t>)</w:t>
            </w:r>
            <w:r w:rsidR="00026095" w:rsidRPr="009B7F14">
              <w:rPr>
                <w:rFonts w:eastAsia="Times New Roman" w:cs="Times New Roman"/>
                <w:color w:val="000000"/>
                <w:sz w:val="16"/>
                <w:lang w:eastAsia="en-GB"/>
              </w:rPr>
              <w:t>)</w:t>
            </w:r>
          </w:p>
        </w:tc>
        <w:tc>
          <w:tcPr>
            <w:tcW w:w="1650" w:type="dxa"/>
          </w:tcPr>
          <w:p w14:paraId="6D57968E" w14:textId="77777777" w:rsidR="00026095" w:rsidRPr="009B7F14" w:rsidRDefault="00026095" w:rsidP="00E74DEC">
            <w:pPr>
              <w:keepNext/>
              <w:keepLines/>
              <w:spacing w:line="276" w:lineRule="auto"/>
              <w:rPr>
                <w:rFonts w:eastAsia="Times New Roman" w:cs="Times New Roman"/>
                <w:bCs/>
                <w:color w:val="000000"/>
                <w:sz w:val="16"/>
                <w:lang w:eastAsia="en-GB"/>
              </w:rPr>
            </w:pPr>
          </w:p>
        </w:tc>
      </w:tr>
      <w:tr w:rsidR="00026095" w:rsidRPr="009B7F14" w14:paraId="37980E88" w14:textId="77777777" w:rsidTr="006E4115">
        <w:trPr>
          <w:trHeight w:hRule="exact" w:val="854"/>
        </w:trPr>
        <w:tc>
          <w:tcPr>
            <w:tcW w:w="7366" w:type="dxa"/>
            <w:vAlign w:val="center"/>
          </w:tcPr>
          <w:p w14:paraId="7A722AB6" w14:textId="77777777" w:rsidR="00026095" w:rsidRPr="009B7F14" w:rsidRDefault="00026095" w:rsidP="00610176">
            <w:pPr>
              <w:keepNext/>
              <w:keepLines/>
              <w:spacing w:before="0" w:after="0" w:line="276" w:lineRule="auto"/>
              <w:jc w:val="left"/>
              <w:rPr>
                <w:rFonts w:eastAsia="Times New Roman" w:cs="Times New Roman"/>
                <w:b/>
                <w:bCs/>
                <w:color w:val="000000"/>
                <w:sz w:val="16"/>
                <w:lang w:eastAsia="en-GB"/>
              </w:rPr>
            </w:pPr>
            <w:r w:rsidRPr="009B7F14">
              <w:rPr>
                <w:rFonts w:eastAsia="Times New Roman" w:cs="Times New Roman"/>
                <w:color w:val="000000"/>
                <w:sz w:val="16"/>
                <w:lang w:eastAsia="en-GB"/>
              </w:rPr>
              <w:t xml:space="preserve">Cooperation activities, exchange of best practices </w:t>
            </w:r>
            <w:r w:rsidR="00427039" w:rsidRPr="009B7F14">
              <w:rPr>
                <w:rFonts w:eastAsia="Times New Roman" w:cs="Times New Roman"/>
                <w:color w:val="000000"/>
                <w:sz w:val="16"/>
                <w:lang w:eastAsia="en-GB"/>
              </w:rPr>
              <w:t xml:space="preserve">between the Programme Operators and similar entities within the Beneficiary State and/or Donor States, and/or international organisations </w:t>
            </w:r>
            <w:r w:rsidRPr="009B7F14">
              <w:rPr>
                <w:rFonts w:eastAsia="Times New Roman" w:cs="Times New Roman"/>
                <w:color w:val="000000"/>
                <w:sz w:val="16"/>
                <w:lang w:eastAsia="en-GB"/>
              </w:rPr>
              <w:t>(</w:t>
            </w:r>
            <w:r w:rsidR="00DC28D5" w:rsidRPr="009B7F14">
              <w:rPr>
                <w:rFonts w:eastAsia="Times New Roman" w:cs="Times New Roman"/>
                <w:color w:val="000000"/>
                <w:sz w:val="16"/>
                <w:lang w:eastAsia="en-GB"/>
              </w:rPr>
              <w:t xml:space="preserve">Reg. Art. </w:t>
            </w:r>
            <w:r w:rsidR="00CA2FAA" w:rsidRPr="009B7F14">
              <w:rPr>
                <w:sz w:val="16"/>
              </w:rPr>
              <w:t>8.10.4 (</w:t>
            </w:r>
            <w:r w:rsidRPr="009B7F14">
              <w:rPr>
                <w:sz w:val="16"/>
              </w:rPr>
              <w:t>n</w:t>
            </w:r>
            <w:r w:rsidR="00CA2FAA" w:rsidRPr="009B7F14">
              <w:rPr>
                <w:sz w:val="16"/>
              </w:rPr>
              <w:t>)</w:t>
            </w:r>
            <w:r w:rsidRPr="009B7F14">
              <w:rPr>
                <w:rFonts w:eastAsia="Times New Roman" w:cs="Times New Roman"/>
                <w:color w:val="000000"/>
                <w:sz w:val="16"/>
                <w:lang w:eastAsia="en-GB"/>
              </w:rPr>
              <w:t>)</w:t>
            </w:r>
          </w:p>
        </w:tc>
        <w:tc>
          <w:tcPr>
            <w:tcW w:w="1650" w:type="dxa"/>
          </w:tcPr>
          <w:p w14:paraId="08DD9489" w14:textId="77777777" w:rsidR="00026095" w:rsidRPr="009B7F14" w:rsidRDefault="00026095" w:rsidP="00E74DEC">
            <w:pPr>
              <w:keepNext/>
              <w:keepLines/>
              <w:spacing w:line="276" w:lineRule="auto"/>
              <w:rPr>
                <w:rFonts w:eastAsia="Times New Roman" w:cs="Times New Roman"/>
                <w:bCs/>
                <w:color w:val="000000"/>
                <w:sz w:val="16"/>
                <w:lang w:eastAsia="en-GB"/>
              </w:rPr>
            </w:pPr>
          </w:p>
        </w:tc>
      </w:tr>
      <w:tr w:rsidR="00026095" w:rsidRPr="009B7F14" w14:paraId="214B5932" w14:textId="77777777" w:rsidTr="006E4115">
        <w:trPr>
          <w:trHeight w:hRule="exact" w:val="397"/>
        </w:trPr>
        <w:tc>
          <w:tcPr>
            <w:tcW w:w="7366" w:type="dxa"/>
            <w:vAlign w:val="center"/>
            <w:hideMark/>
          </w:tcPr>
          <w:p w14:paraId="5F724B2D" w14:textId="77777777" w:rsidR="00026095" w:rsidRPr="009B7F14" w:rsidRDefault="00026095" w:rsidP="00E74DEC">
            <w:pPr>
              <w:keepNext/>
              <w:keepLines/>
              <w:spacing w:line="276" w:lineRule="auto"/>
              <w:jc w:val="left"/>
              <w:rPr>
                <w:rFonts w:eastAsia="Times New Roman" w:cs="Times New Roman"/>
                <w:b/>
                <w:bCs/>
                <w:color w:val="000000"/>
                <w:sz w:val="16"/>
                <w:lang w:eastAsia="en-GB"/>
              </w:rPr>
            </w:pPr>
            <w:r w:rsidRPr="009B7F14">
              <w:rPr>
                <w:rFonts w:eastAsia="Times New Roman" w:cs="Times New Roman"/>
                <w:b/>
                <w:color w:val="000000"/>
                <w:sz w:val="16"/>
                <w:lang w:eastAsia="en-GB"/>
              </w:rPr>
              <w:t>Total budget</w:t>
            </w:r>
          </w:p>
        </w:tc>
        <w:tc>
          <w:tcPr>
            <w:tcW w:w="1650" w:type="dxa"/>
          </w:tcPr>
          <w:p w14:paraId="3EBADA09" w14:textId="77777777" w:rsidR="00026095" w:rsidRPr="009B7F14" w:rsidRDefault="00026095" w:rsidP="00E74DEC">
            <w:pPr>
              <w:keepNext/>
              <w:keepLines/>
              <w:spacing w:line="276" w:lineRule="auto"/>
              <w:rPr>
                <w:rFonts w:eastAsia="Times New Roman" w:cs="Times New Roman"/>
                <w:b/>
                <w:bCs/>
                <w:color w:val="000000"/>
                <w:sz w:val="16"/>
                <w:lang w:eastAsia="en-GB"/>
              </w:rPr>
            </w:pPr>
          </w:p>
        </w:tc>
      </w:tr>
    </w:tbl>
    <w:p w14:paraId="22F1F844" w14:textId="77777777" w:rsidR="00AB4387" w:rsidRDefault="00AB4387" w:rsidP="00376576"/>
    <w:p w14:paraId="7813D32D" w14:textId="0DFF15A1" w:rsidR="00484474" w:rsidRDefault="00215E29" w:rsidP="00376576">
      <w:r>
        <w:t>In addition t</w:t>
      </w:r>
      <w:r w:rsidR="00484474">
        <w:t xml:space="preserve">otal costs for the different types of expenditure </w:t>
      </w:r>
      <w:r w:rsidR="00484474" w:rsidRPr="009B7F14">
        <w:t>should be provided to enable the FMO to assess the cost efficiency of the management costs</w:t>
      </w:r>
      <w:r w:rsidR="00484474">
        <w:t xml:space="preserve"> (Table 3 </w:t>
      </w:r>
      <w:r w:rsidR="00A87AB3">
        <w:t>below</w:t>
      </w:r>
      <w:r w:rsidR="00484474">
        <w:t>).</w:t>
      </w:r>
    </w:p>
    <w:p w14:paraId="4D0067C9" w14:textId="77777777" w:rsidR="00484474" w:rsidRDefault="00484474" w:rsidP="00376576"/>
    <w:p w14:paraId="7C4CCFA1" w14:textId="771F9515" w:rsidR="00597B3B" w:rsidRDefault="00597B3B" w:rsidP="00597B3B">
      <w:pPr>
        <w:pStyle w:val="Caption"/>
        <w:keepNext/>
      </w:pPr>
      <w:bookmarkStart w:id="14" w:name="_Toc484174865"/>
      <w:r>
        <w:t xml:space="preserve">Table </w:t>
      </w:r>
      <w:r w:rsidR="00DE4338">
        <w:fldChar w:fldCharType="begin"/>
      </w:r>
      <w:r w:rsidR="00DE4338">
        <w:instrText xml:space="preserve"> SEQ Table \* ARABIC </w:instrText>
      </w:r>
      <w:r w:rsidR="00DE4338">
        <w:fldChar w:fldCharType="separate"/>
      </w:r>
      <w:r w:rsidR="00215E29">
        <w:rPr>
          <w:noProof/>
        </w:rPr>
        <w:t>3</w:t>
      </w:r>
      <w:r w:rsidR="00DE4338">
        <w:rPr>
          <w:noProof/>
        </w:rPr>
        <w:fldChar w:fldCharType="end"/>
      </w:r>
      <w:r>
        <w:t>: Programme management cost budget example</w:t>
      </w:r>
      <w:bookmarkEnd w:id="14"/>
    </w:p>
    <w:tbl>
      <w:tblPr>
        <w:tblStyle w:val="TableGrid"/>
        <w:tblW w:w="0" w:type="auto"/>
        <w:tblLook w:val="04A0" w:firstRow="1" w:lastRow="0" w:firstColumn="1" w:lastColumn="0" w:noHBand="0" w:noVBand="1"/>
      </w:tblPr>
      <w:tblGrid>
        <w:gridCol w:w="2254"/>
        <w:gridCol w:w="1285"/>
        <w:gridCol w:w="1559"/>
        <w:gridCol w:w="3919"/>
      </w:tblGrid>
      <w:tr w:rsidR="00484474" w14:paraId="3E8BFB9A" w14:textId="77777777" w:rsidTr="00B033FD">
        <w:trPr>
          <w:cnfStyle w:val="100000000000" w:firstRow="1" w:lastRow="0" w:firstColumn="0" w:lastColumn="0" w:oddVBand="0" w:evenVBand="0" w:oddHBand="0" w:evenHBand="0" w:firstRowFirstColumn="0" w:firstRowLastColumn="0" w:lastRowFirstColumn="0" w:lastRowLastColumn="0"/>
        </w:trPr>
        <w:tc>
          <w:tcPr>
            <w:tcW w:w="2254" w:type="dxa"/>
          </w:tcPr>
          <w:p w14:paraId="5D104C33" w14:textId="090C1B50" w:rsidR="00484474" w:rsidRPr="00484474" w:rsidRDefault="00484474" w:rsidP="00484474">
            <w:pPr>
              <w:jc w:val="center"/>
              <w:rPr>
                <w:sz w:val="16"/>
                <w:szCs w:val="16"/>
              </w:rPr>
            </w:pPr>
            <w:r w:rsidRPr="00484474">
              <w:rPr>
                <w:sz w:val="16"/>
                <w:szCs w:val="16"/>
              </w:rPr>
              <w:t>Type of expenditure</w:t>
            </w:r>
          </w:p>
        </w:tc>
        <w:tc>
          <w:tcPr>
            <w:tcW w:w="1285" w:type="dxa"/>
          </w:tcPr>
          <w:p w14:paraId="55481EDC" w14:textId="73E0A7BF" w:rsidR="00484474" w:rsidRPr="00484474" w:rsidRDefault="00484474" w:rsidP="00484474">
            <w:pPr>
              <w:jc w:val="center"/>
              <w:rPr>
                <w:sz w:val="16"/>
                <w:szCs w:val="16"/>
              </w:rPr>
            </w:pPr>
            <w:r w:rsidRPr="00CB048D">
              <w:rPr>
                <w:bCs/>
                <w:sz w:val="16"/>
                <w:szCs w:val="16"/>
              </w:rPr>
              <w:t>Reg. Art.</w:t>
            </w:r>
          </w:p>
        </w:tc>
        <w:tc>
          <w:tcPr>
            <w:tcW w:w="1559" w:type="dxa"/>
            <w:vAlign w:val="center"/>
          </w:tcPr>
          <w:p w14:paraId="4AD4D20F" w14:textId="7C04876A" w:rsidR="00484474" w:rsidRPr="00484474" w:rsidRDefault="00484474" w:rsidP="00484474">
            <w:pPr>
              <w:jc w:val="center"/>
              <w:rPr>
                <w:sz w:val="16"/>
                <w:szCs w:val="16"/>
              </w:rPr>
            </w:pPr>
            <w:r w:rsidRPr="00CB048D">
              <w:rPr>
                <w:bCs/>
                <w:sz w:val="16"/>
                <w:szCs w:val="16"/>
              </w:rPr>
              <w:t>Total costs (€)</w:t>
            </w:r>
          </w:p>
        </w:tc>
        <w:tc>
          <w:tcPr>
            <w:tcW w:w="3919" w:type="dxa"/>
          </w:tcPr>
          <w:p w14:paraId="618B781E" w14:textId="2CB92452" w:rsidR="00484474" w:rsidRPr="00484474" w:rsidRDefault="00484474" w:rsidP="00484474">
            <w:pPr>
              <w:jc w:val="center"/>
              <w:rPr>
                <w:sz w:val="16"/>
                <w:szCs w:val="16"/>
              </w:rPr>
            </w:pPr>
            <w:r w:rsidRPr="00CB048D">
              <w:rPr>
                <w:bCs/>
                <w:sz w:val="16"/>
                <w:szCs w:val="16"/>
              </w:rPr>
              <w:t>Comments/additional information</w:t>
            </w:r>
          </w:p>
        </w:tc>
      </w:tr>
      <w:tr w:rsidR="00484474" w:rsidRPr="00484474" w14:paraId="2916856A" w14:textId="77777777" w:rsidTr="00B033FD">
        <w:tc>
          <w:tcPr>
            <w:tcW w:w="2254" w:type="dxa"/>
          </w:tcPr>
          <w:p w14:paraId="1B402195" w14:textId="246E3EA1" w:rsidR="00484474" w:rsidRPr="00484474" w:rsidRDefault="00484474" w:rsidP="00B033FD">
            <w:pPr>
              <w:jc w:val="left"/>
            </w:pPr>
            <w:r w:rsidRPr="00484474">
              <w:rPr>
                <w:sz w:val="16"/>
                <w:szCs w:val="16"/>
              </w:rPr>
              <w:t>Staff Costs</w:t>
            </w:r>
          </w:p>
        </w:tc>
        <w:tc>
          <w:tcPr>
            <w:tcW w:w="1285" w:type="dxa"/>
          </w:tcPr>
          <w:p w14:paraId="0655146B" w14:textId="34657AEF" w:rsidR="00484474" w:rsidRPr="00484474" w:rsidRDefault="00484474" w:rsidP="00B033FD">
            <w:pPr>
              <w:jc w:val="left"/>
            </w:pPr>
            <w:r w:rsidRPr="00484474">
              <w:rPr>
                <w:i/>
                <w:iCs/>
                <w:sz w:val="16"/>
                <w:szCs w:val="16"/>
              </w:rPr>
              <w:t>8.10</w:t>
            </w:r>
          </w:p>
        </w:tc>
        <w:tc>
          <w:tcPr>
            <w:tcW w:w="1559" w:type="dxa"/>
          </w:tcPr>
          <w:p w14:paraId="08FD04B2" w14:textId="3429F180" w:rsidR="00484474" w:rsidRPr="00484474" w:rsidRDefault="00484474" w:rsidP="00B033FD">
            <w:pPr>
              <w:jc w:val="left"/>
            </w:pPr>
            <w:r w:rsidRPr="00484474">
              <w:rPr>
                <w:i/>
                <w:iCs/>
                <w:sz w:val="16"/>
                <w:szCs w:val="16"/>
              </w:rPr>
              <w:t> </w:t>
            </w:r>
          </w:p>
        </w:tc>
        <w:tc>
          <w:tcPr>
            <w:tcW w:w="3919" w:type="dxa"/>
          </w:tcPr>
          <w:p w14:paraId="6DA9E080" w14:textId="48228AB3" w:rsidR="00484474" w:rsidRPr="00484474" w:rsidRDefault="00484474" w:rsidP="00B033FD">
            <w:pPr>
              <w:jc w:val="left"/>
            </w:pPr>
            <w:r w:rsidRPr="00484474">
              <w:rPr>
                <w:i/>
                <w:iCs/>
                <w:sz w:val="16"/>
                <w:szCs w:val="16"/>
              </w:rPr>
              <w:t>Number of employees, duration of employment and part-time vs full-time (if relevant)</w:t>
            </w:r>
          </w:p>
        </w:tc>
      </w:tr>
      <w:tr w:rsidR="00484474" w:rsidRPr="00484474" w14:paraId="1F7AB09E" w14:textId="77777777" w:rsidTr="00B033FD">
        <w:tc>
          <w:tcPr>
            <w:tcW w:w="2254" w:type="dxa"/>
          </w:tcPr>
          <w:p w14:paraId="6008F12C" w14:textId="2384CF7D" w:rsidR="00484474" w:rsidRPr="00484474" w:rsidRDefault="00484474" w:rsidP="00B033FD">
            <w:pPr>
              <w:jc w:val="left"/>
            </w:pPr>
            <w:r w:rsidRPr="00484474">
              <w:rPr>
                <w:sz w:val="16"/>
                <w:szCs w:val="16"/>
              </w:rPr>
              <w:t>Depreciation of equipment</w:t>
            </w:r>
          </w:p>
        </w:tc>
        <w:tc>
          <w:tcPr>
            <w:tcW w:w="1285" w:type="dxa"/>
          </w:tcPr>
          <w:p w14:paraId="521911A1" w14:textId="3918A1F6" w:rsidR="00484474" w:rsidRPr="00484474" w:rsidRDefault="00484474" w:rsidP="00B033FD">
            <w:pPr>
              <w:jc w:val="left"/>
            </w:pPr>
            <w:r w:rsidRPr="00484474">
              <w:rPr>
                <w:i/>
                <w:iCs/>
                <w:sz w:val="16"/>
                <w:szCs w:val="16"/>
              </w:rPr>
              <w:t>8.2.4</w:t>
            </w:r>
          </w:p>
        </w:tc>
        <w:tc>
          <w:tcPr>
            <w:tcW w:w="1559" w:type="dxa"/>
          </w:tcPr>
          <w:p w14:paraId="26C635DE" w14:textId="010A3303" w:rsidR="00484474" w:rsidRPr="00484474" w:rsidRDefault="00484474" w:rsidP="00B033FD">
            <w:pPr>
              <w:jc w:val="left"/>
            </w:pPr>
            <w:r w:rsidRPr="00484474">
              <w:rPr>
                <w:i/>
                <w:iCs/>
                <w:sz w:val="16"/>
                <w:szCs w:val="16"/>
              </w:rPr>
              <w:t> </w:t>
            </w:r>
          </w:p>
        </w:tc>
        <w:tc>
          <w:tcPr>
            <w:tcW w:w="3919" w:type="dxa"/>
          </w:tcPr>
          <w:p w14:paraId="1D0D3A1A" w14:textId="7F53A8FE" w:rsidR="00484474" w:rsidRPr="00484474" w:rsidRDefault="00484474" w:rsidP="00B033FD">
            <w:pPr>
              <w:jc w:val="left"/>
            </w:pPr>
            <w:r w:rsidRPr="00484474">
              <w:rPr>
                <w:i/>
                <w:iCs/>
                <w:sz w:val="16"/>
                <w:szCs w:val="16"/>
              </w:rPr>
              <w:t>Indicate equipment, including type, number of items and cost, starting with the most expensive equipment.</w:t>
            </w:r>
          </w:p>
        </w:tc>
      </w:tr>
      <w:tr w:rsidR="00484474" w:rsidRPr="00484474" w14:paraId="2E355E61" w14:textId="77777777" w:rsidTr="00B033FD">
        <w:tc>
          <w:tcPr>
            <w:tcW w:w="2254" w:type="dxa"/>
          </w:tcPr>
          <w:p w14:paraId="40D66794" w14:textId="758C7A1B" w:rsidR="00484474" w:rsidRPr="00484474" w:rsidRDefault="00484474" w:rsidP="00B033FD">
            <w:pPr>
              <w:jc w:val="left"/>
            </w:pPr>
            <w:r w:rsidRPr="00484474">
              <w:rPr>
                <w:sz w:val="16"/>
                <w:szCs w:val="16"/>
              </w:rPr>
              <w:t>Meeting and travel costs</w:t>
            </w:r>
          </w:p>
        </w:tc>
        <w:tc>
          <w:tcPr>
            <w:tcW w:w="1285" w:type="dxa"/>
          </w:tcPr>
          <w:p w14:paraId="7C506BDC" w14:textId="2935492F" w:rsidR="00484474" w:rsidRPr="00484474" w:rsidRDefault="00484474" w:rsidP="00B033FD">
            <w:pPr>
              <w:jc w:val="left"/>
            </w:pPr>
            <w:r w:rsidRPr="00484474">
              <w:rPr>
                <w:i/>
                <w:iCs/>
                <w:sz w:val="16"/>
                <w:szCs w:val="16"/>
              </w:rPr>
              <w:t>8.10 (d), 8.3 (b)</w:t>
            </w:r>
          </w:p>
        </w:tc>
        <w:tc>
          <w:tcPr>
            <w:tcW w:w="1559" w:type="dxa"/>
          </w:tcPr>
          <w:p w14:paraId="3446C19F" w14:textId="7C454EC9" w:rsidR="00484474" w:rsidRPr="00484474" w:rsidRDefault="00484474" w:rsidP="00B033FD">
            <w:pPr>
              <w:jc w:val="left"/>
            </w:pPr>
            <w:r w:rsidRPr="00484474">
              <w:rPr>
                <w:i/>
                <w:iCs/>
                <w:sz w:val="16"/>
                <w:szCs w:val="16"/>
              </w:rPr>
              <w:t> </w:t>
            </w:r>
          </w:p>
        </w:tc>
        <w:tc>
          <w:tcPr>
            <w:tcW w:w="3919" w:type="dxa"/>
          </w:tcPr>
          <w:p w14:paraId="197EBD6B" w14:textId="09EC7680" w:rsidR="00484474" w:rsidRPr="00484474" w:rsidRDefault="00484474" w:rsidP="00B033FD">
            <w:pPr>
              <w:jc w:val="left"/>
            </w:pPr>
            <w:r w:rsidRPr="00484474">
              <w:rPr>
                <w:i/>
                <w:iCs/>
                <w:sz w:val="16"/>
                <w:szCs w:val="16"/>
              </w:rPr>
              <w:t>Justify by number of travels and meetings - please specify approximate budget for travel and meetings separately</w:t>
            </w:r>
          </w:p>
        </w:tc>
      </w:tr>
      <w:tr w:rsidR="00484474" w:rsidRPr="00484474" w14:paraId="098FD641" w14:textId="77777777" w:rsidTr="00B033FD">
        <w:tc>
          <w:tcPr>
            <w:tcW w:w="2254" w:type="dxa"/>
          </w:tcPr>
          <w:p w14:paraId="50728508" w14:textId="1662F5EE" w:rsidR="00484474" w:rsidRPr="00484474" w:rsidRDefault="00484474" w:rsidP="00B033FD">
            <w:pPr>
              <w:jc w:val="left"/>
            </w:pPr>
            <w:r w:rsidRPr="00484474">
              <w:rPr>
                <w:sz w:val="16"/>
                <w:szCs w:val="16"/>
              </w:rPr>
              <w:t>External experts (project selection, monitoring, audits, reviews, etc.)</w:t>
            </w:r>
          </w:p>
        </w:tc>
        <w:tc>
          <w:tcPr>
            <w:tcW w:w="1285" w:type="dxa"/>
          </w:tcPr>
          <w:p w14:paraId="54665CEC" w14:textId="6D8175F0" w:rsidR="00484474" w:rsidRPr="00484474" w:rsidRDefault="00484474" w:rsidP="00B033FD">
            <w:pPr>
              <w:jc w:val="left"/>
            </w:pPr>
            <w:r w:rsidRPr="00484474">
              <w:rPr>
                <w:i/>
                <w:iCs/>
                <w:sz w:val="16"/>
                <w:szCs w:val="16"/>
              </w:rPr>
              <w:t>8.10 (d) (f) (g)</w:t>
            </w:r>
          </w:p>
        </w:tc>
        <w:tc>
          <w:tcPr>
            <w:tcW w:w="1559" w:type="dxa"/>
          </w:tcPr>
          <w:p w14:paraId="76079B7A" w14:textId="1A966729" w:rsidR="00484474" w:rsidRPr="00484474" w:rsidRDefault="00484474" w:rsidP="00B033FD">
            <w:pPr>
              <w:jc w:val="left"/>
            </w:pPr>
            <w:r w:rsidRPr="00484474">
              <w:rPr>
                <w:i/>
                <w:iCs/>
                <w:sz w:val="16"/>
                <w:szCs w:val="16"/>
              </w:rPr>
              <w:t> </w:t>
            </w:r>
          </w:p>
        </w:tc>
        <w:tc>
          <w:tcPr>
            <w:tcW w:w="3919" w:type="dxa"/>
          </w:tcPr>
          <w:p w14:paraId="1CE49E0B" w14:textId="170043D3" w:rsidR="00484474" w:rsidRPr="00484474" w:rsidRDefault="00484474" w:rsidP="00B033FD">
            <w:pPr>
              <w:jc w:val="left"/>
            </w:pPr>
            <w:r w:rsidRPr="00484474">
              <w:rPr>
                <w:i/>
                <w:iCs/>
                <w:sz w:val="16"/>
                <w:szCs w:val="16"/>
              </w:rPr>
              <w:t>Justify the costs by providing a breakdown by type of service (i.e. project selection, monitoring, audit, etc.)</w:t>
            </w:r>
          </w:p>
        </w:tc>
      </w:tr>
      <w:tr w:rsidR="004F55D4" w:rsidRPr="00484474" w14:paraId="0D00F17A" w14:textId="77777777" w:rsidTr="00B033FD">
        <w:tc>
          <w:tcPr>
            <w:tcW w:w="2254" w:type="dxa"/>
          </w:tcPr>
          <w:p w14:paraId="6E1B2F50" w14:textId="08584341" w:rsidR="004F55D4" w:rsidRPr="004F55D4" w:rsidRDefault="004F55D4" w:rsidP="00B033FD">
            <w:pPr>
              <w:jc w:val="left"/>
            </w:pPr>
            <w:r w:rsidRPr="004F55D4">
              <w:rPr>
                <w:sz w:val="16"/>
                <w:szCs w:val="16"/>
              </w:rPr>
              <w:t>Cost of reporting and promotional and information activities</w:t>
            </w:r>
          </w:p>
        </w:tc>
        <w:tc>
          <w:tcPr>
            <w:tcW w:w="1285" w:type="dxa"/>
          </w:tcPr>
          <w:p w14:paraId="23F2F6A4" w14:textId="3D18D73A" w:rsidR="004F55D4" w:rsidRPr="00484474" w:rsidRDefault="004F55D4" w:rsidP="00B033FD">
            <w:pPr>
              <w:jc w:val="left"/>
            </w:pPr>
            <w:r w:rsidRPr="00CB048D">
              <w:rPr>
                <w:i/>
                <w:iCs/>
                <w:sz w:val="16"/>
                <w:szCs w:val="16"/>
              </w:rPr>
              <w:t>8.10 (h) (i)</w:t>
            </w:r>
          </w:p>
        </w:tc>
        <w:tc>
          <w:tcPr>
            <w:tcW w:w="1559" w:type="dxa"/>
          </w:tcPr>
          <w:p w14:paraId="3AECBEAE" w14:textId="7D0591E6" w:rsidR="004F55D4" w:rsidRPr="00484474" w:rsidRDefault="004F55D4" w:rsidP="00B033FD">
            <w:pPr>
              <w:jc w:val="left"/>
            </w:pPr>
            <w:r w:rsidRPr="00CB048D">
              <w:rPr>
                <w:i/>
                <w:iCs/>
                <w:sz w:val="16"/>
                <w:szCs w:val="16"/>
              </w:rPr>
              <w:t> </w:t>
            </w:r>
          </w:p>
        </w:tc>
        <w:tc>
          <w:tcPr>
            <w:tcW w:w="3919" w:type="dxa"/>
          </w:tcPr>
          <w:p w14:paraId="275BEF88" w14:textId="59BB2FD8" w:rsidR="004F55D4" w:rsidRPr="00484474" w:rsidRDefault="004F55D4" w:rsidP="00B033FD">
            <w:pPr>
              <w:jc w:val="left"/>
            </w:pPr>
            <w:r w:rsidRPr="00CB048D">
              <w:rPr>
                <w:i/>
                <w:iCs/>
                <w:sz w:val="16"/>
                <w:szCs w:val="16"/>
              </w:rPr>
              <w:t>Ensure that all obligatory reporting and promotional task are included in the budget. Justify the costs by providing a breakdown by type of service (i.e. reporting and/or promotion)</w:t>
            </w:r>
          </w:p>
        </w:tc>
      </w:tr>
      <w:tr w:rsidR="004F55D4" w:rsidRPr="00484474" w14:paraId="154AA9EE" w14:textId="77777777" w:rsidTr="00B033FD">
        <w:tc>
          <w:tcPr>
            <w:tcW w:w="2254" w:type="dxa"/>
          </w:tcPr>
          <w:p w14:paraId="0E8174CE" w14:textId="4A776992" w:rsidR="004F55D4" w:rsidRPr="004F55D4" w:rsidRDefault="004F55D4" w:rsidP="00B033FD">
            <w:pPr>
              <w:jc w:val="left"/>
              <w:rPr>
                <w:sz w:val="16"/>
                <w:szCs w:val="16"/>
              </w:rPr>
            </w:pPr>
            <w:r w:rsidRPr="00CB048D">
              <w:rPr>
                <w:sz w:val="16"/>
                <w:szCs w:val="16"/>
              </w:rPr>
              <w:t>Charges related to the bank accounts</w:t>
            </w:r>
          </w:p>
        </w:tc>
        <w:tc>
          <w:tcPr>
            <w:tcW w:w="1285" w:type="dxa"/>
          </w:tcPr>
          <w:p w14:paraId="176AAFF2" w14:textId="6219F4EE" w:rsidR="004F55D4" w:rsidRPr="00CB048D" w:rsidRDefault="004F55D4" w:rsidP="00B033FD">
            <w:pPr>
              <w:jc w:val="left"/>
              <w:rPr>
                <w:i/>
                <w:iCs/>
                <w:sz w:val="16"/>
                <w:szCs w:val="16"/>
              </w:rPr>
            </w:pPr>
            <w:r w:rsidRPr="00CB048D">
              <w:rPr>
                <w:i/>
                <w:iCs/>
                <w:sz w:val="16"/>
                <w:szCs w:val="16"/>
              </w:rPr>
              <w:t>8.10 (j)</w:t>
            </w:r>
          </w:p>
        </w:tc>
        <w:tc>
          <w:tcPr>
            <w:tcW w:w="1559" w:type="dxa"/>
          </w:tcPr>
          <w:p w14:paraId="72EC97B9" w14:textId="18D64813" w:rsidR="004F55D4" w:rsidRPr="00CB048D" w:rsidRDefault="004F55D4" w:rsidP="00B033FD">
            <w:pPr>
              <w:jc w:val="left"/>
              <w:rPr>
                <w:i/>
                <w:iCs/>
                <w:sz w:val="16"/>
                <w:szCs w:val="16"/>
              </w:rPr>
            </w:pPr>
            <w:r w:rsidRPr="00CB048D">
              <w:rPr>
                <w:i/>
                <w:iCs/>
                <w:sz w:val="16"/>
                <w:szCs w:val="16"/>
              </w:rPr>
              <w:t> </w:t>
            </w:r>
          </w:p>
        </w:tc>
        <w:tc>
          <w:tcPr>
            <w:tcW w:w="3919" w:type="dxa"/>
          </w:tcPr>
          <w:p w14:paraId="798598FA" w14:textId="77777777" w:rsidR="004F55D4" w:rsidRPr="00CB048D" w:rsidRDefault="004F55D4" w:rsidP="00B033FD">
            <w:pPr>
              <w:jc w:val="left"/>
              <w:rPr>
                <w:i/>
                <w:iCs/>
                <w:sz w:val="16"/>
                <w:szCs w:val="16"/>
              </w:rPr>
            </w:pPr>
          </w:p>
        </w:tc>
      </w:tr>
      <w:tr w:rsidR="004F55D4" w:rsidRPr="00484474" w14:paraId="13677063" w14:textId="77777777" w:rsidTr="00B033FD">
        <w:tc>
          <w:tcPr>
            <w:tcW w:w="2254" w:type="dxa"/>
          </w:tcPr>
          <w:p w14:paraId="10204B13" w14:textId="7C2D64C7" w:rsidR="004F55D4" w:rsidRPr="004F55D4" w:rsidRDefault="004F55D4" w:rsidP="00B033FD">
            <w:pPr>
              <w:jc w:val="left"/>
              <w:rPr>
                <w:sz w:val="16"/>
                <w:szCs w:val="16"/>
              </w:rPr>
            </w:pPr>
            <w:r w:rsidRPr="00CB048D">
              <w:rPr>
                <w:sz w:val="16"/>
                <w:szCs w:val="16"/>
              </w:rPr>
              <w:t>Overheads</w:t>
            </w:r>
          </w:p>
        </w:tc>
        <w:tc>
          <w:tcPr>
            <w:tcW w:w="1285" w:type="dxa"/>
          </w:tcPr>
          <w:p w14:paraId="41ECD8A4" w14:textId="74801FD3" w:rsidR="004F55D4" w:rsidRPr="00CB048D" w:rsidRDefault="004F55D4" w:rsidP="00B033FD">
            <w:pPr>
              <w:jc w:val="left"/>
              <w:rPr>
                <w:i/>
                <w:iCs/>
                <w:sz w:val="16"/>
                <w:szCs w:val="16"/>
              </w:rPr>
            </w:pPr>
            <w:r w:rsidRPr="00CB048D">
              <w:rPr>
                <w:i/>
                <w:iCs/>
                <w:sz w:val="16"/>
                <w:szCs w:val="16"/>
              </w:rPr>
              <w:t>8.10 (k)</w:t>
            </w:r>
          </w:p>
        </w:tc>
        <w:tc>
          <w:tcPr>
            <w:tcW w:w="1559" w:type="dxa"/>
          </w:tcPr>
          <w:p w14:paraId="363FE305" w14:textId="7251D377" w:rsidR="004F55D4" w:rsidRPr="00CB048D" w:rsidRDefault="004F55D4" w:rsidP="00B033FD">
            <w:pPr>
              <w:jc w:val="left"/>
              <w:rPr>
                <w:i/>
                <w:iCs/>
                <w:sz w:val="16"/>
                <w:szCs w:val="16"/>
              </w:rPr>
            </w:pPr>
            <w:r w:rsidRPr="00CB048D">
              <w:rPr>
                <w:i/>
                <w:iCs/>
                <w:sz w:val="16"/>
                <w:szCs w:val="16"/>
              </w:rPr>
              <w:t> </w:t>
            </w:r>
          </w:p>
        </w:tc>
        <w:tc>
          <w:tcPr>
            <w:tcW w:w="3919" w:type="dxa"/>
          </w:tcPr>
          <w:p w14:paraId="4BF50FAE" w14:textId="482A7923" w:rsidR="004F55D4" w:rsidRPr="00CB048D" w:rsidRDefault="004F55D4" w:rsidP="00B033FD">
            <w:pPr>
              <w:jc w:val="left"/>
              <w:rPr>
                <w:i/>
                <w:iCs/>
                <w:sz w:val="16"/>
                <w:szCs w:val="16"/>
              </w:rPr>
            </w:pPr>
            <w:r w:rsidRPr="00CB048D">
              <w:rPr>
                <w:i/>
                <w:iCs/>
                <w:sz w:val="16"/>
                <w:szCs w:val="16"/>
              </w:rPr>
              <w:t>Indicate type of calculation</w:t>
            </w:r>
          </w:p>
        </w:tc>
      </w:tr>
      <w:tr w:rsidR="00746480" w:rsidRPr="00484474" w14:paraId="492A6E86" w14:textId="77777777" w:rsidTr="00B033FD">
        <w:tc>
          <w:tcPr>
            <w:tcW w:w="3539" w:type="dxa"/>
            <w:gridSpan w:val="2"/>
            <w:shd w:val="clear" w:color="auto" w:fill="F2F2F2" w:themeFill="background1" w:themeFillShade="F2"/>
          </w:tcPr>
          <w:p w14:paraId="0E9E6441" w14:textId="681E4985" w:rsidR="00746480" w:rsidRPr="00CB048D" w:rsidRDefault="00746480" w:rsidP="00B033FD">
            <w:pPr>
              <w:jc w:val="left"/>
              <w:rPr>
                <w:i/>
                <w:iCs/>
                <w:sz w:val="16"/>
                <w:szCs w:val="16"/>
              </w:rPr>
            </w:pPr>
            <w:r>
              <w:rPr>
                <w:sz w:val="16"/>
                <w:szCs w:val="16"/>
              </w:rPr>
              <w:t>Total budget</w:t>
            </w:r>
          </w:p>
        </w:tc>
        <w:tc>
          <w:tcPr>
            <w:tcW w:w="1559" w:type="dxa"/>
            <w:shd w:val="clear" w:color="auto" w:fill="F2F2F2" w:themeFill="background1" w:themeFillShade="F2"/>
          </w:tcPr>
          <w:p w14:paraId="6D78BD25" w14:textId="77777777" w:rsidR="00746480" w:rsidRPr="00CB048D" w:rsidRDefault="00746480" w:rsidP="00B033FD">
            <w:pPr>
              <w:jc w:val="left"/>
              <w:rPr>
                <w:i/>
                <w:iCs/>
                <w:sz w:val="16"/>
                <w:szCs w:val="16"/>
              </w:rPr>
            </w:pPr>
          </w:p>
        </w:tc>
        <w:tc>
          <w:tcPr>
            <w:tcW w:w="3919" w:type="dxa"/>
            <w:shd w:val="clear" w:color="auto" w:fill="F2F2F2" w:themeFill="background1" w:themeFillShade="F2"/>
          </w:tcPr>
          <w:p w14:paraId="4BFD22BC" w14:textId="77777777" w:rsidR="00746480" w:rsidRPr="00CB048D" w:rsidRDefault="00746480" w:rsidP="00B033FD">
            <w:pPr>
              <w:jc w:val="left"/>
              <w:rPr>
                <w:i/>
                <w:iCs/>
                <w:sz w:val="16"/>
                <w:szCs w:val="16"/>
              </w:rPr>
            </w:pPr>
          </w:p>
        </w:tc>
      </w:tr>
    </w:tbl>
    <w:p w14:paraId="2444BEC1" w14:textId="77777777" w:rsidR="00484474" w:rsidRPr="00484474" w:rsidRDefault="00484474" w:rsidP="00484474"/>
    <w:p w14:paraId="21D4D73F" w14:textId="76E95B4A" w:rsidR="00681CEA" w:rsidRPr="009B7F14" w:rsidRDefault="00681CEA" w:rsidP="00376576">
      <w:r w:rsidRPr="009B7F14">
        <w:t>Should the PO delegate some of the tasks to another entity, the budget should be split across the organisations. The PO should submit the budget in excel format</w:t>
      </w:r>
      <w:r w:rsidR="002108B0" w:rsidRPr="009B7F14">
        <w:t xml:space="preserve">, including </w:t>
      </w:r>
      <w:r w:rsidRPr="009B7F14">
        <w:t>the background calculation</w:t>
      </w:r>
      <w:r w:rsidR="001614C2" w:rsidRPr="009B7F14">
        <w:t xml:space="preserve">. </w:t>
      </w:r>
    </w:p>
    <w:p w14:paraId="7D5244E7" w14:textId="77777777" w:rsidR="00681CEA" w:rsidRPr="009B7F14" w:rsidRDefault="009916FE" w:rsidP="00376576">
      <w:r w:rsidRPr="009B7F14">
        <w:t>Reg. Art</w:t>
      </w:r>
      <w:r w:rsidR="00681CEA" w:rsidRPr="009B7F14">
        <w:t xml:space="preserve"> </w:t>
      </w:r>
      <w:r w:rsidR="007B434B" w:rsidRPr="009B7F14">
        <w:t>8</w:t>
      </w:r>
      <w:r w:rsidR="00681CEA" w:rsidRPr="009B7F14">
        <w:t xml:space="preserve">.10.2 sets the maximum amount for the management costs, where the limit is a percentage of the total </w:t>
      </w:r>
      <w:r w:rsidR="007B434B" w:rsidRPr="009B7F14">
        <w:t xml:space="preserve">eligible expenditure of the </w:t>
      </w:r>
      <w:r w:rsidR="00681CEA" w:rsidRPr="009B7F14">
        <w:t>programme</w:t>
      </w:r>
      <w:r w:rsidR="008C7C5D" w:rsidRPr="009B7F14">
        <w:t>:</w:t>
      </w:r>
      <w:r w:rsidR="00681CEA" w:rsidRPr="009B7F14">
        <w:t xml:space="preserve"> </w:t>
      </w:r>
    </w:p>
    <w:p w14:paraId="582A5AE3" w14:textId="511E7D49" w:rsidR="00681CEA" w:rsidRPr="009B7F14" w:rsidRDefault="00697775" w:rsidP="009F01EE">
      <w:pPr>
        <w:pStyle w:val="ListParagraph"/>
        <w:numPr>
          <w:ilvl w:val="0"/>
          <w:numId w:val="18"/>
        </w:numPr>
      </w:pPr>
      <w:r>
        <w:t>10% of the first €</w:t>
      </w:r>
      <w:r w:rsidR="00EF3B6D">
        <w:t xml:space="preserve"> </w:t>
      </w:r>
      <w:r w:rsidR="00DE5468">
        <w:t>10 million</w:t>
      </w:r>
      <w:r w:rsidR="00681CEA" w:rsidRPr="009B7F14">
        <w:t xml:space="preserve"> </w:t>
      </w:r>
    </w:p>
    <w:p w14:paraId="6BED91CD" w14:textId="3E9BEDEF" w:rsidR="0042179F" w:rsidRPr="009B7F14" w:rsidRDefault="00697775" w:rsidP="009F01EE">
      <w:pPr>
        <w:pStyle w:val="ListParagraph"/>
        <w:numPr>
          <w:ilvl w:val="0"/>
          <w:numId w:val="18"/>
        </w:numPr>
      </w:pPr>
      <w:r>
        <w:t>7% of the next €</w:t>
      </w:r>
      <w:r w:rsidR="00AB3DFE">
        <w:t xml:space="preserve"> </w:t>
      </w:r>
      <w:r w:rsidR="00DE5468">
        <w:t>40 million</w:t>
      </w:r>
    </w:p>
    <w:p w14:paraId="13FF4F6D" w14:textId="7F03CDDA" w:rsidR="00681CEA" w:rsidRPr="009B7F14" w:rsidRDefault="00681CEA" w:rsidP="009F01EE">
      <w:pPr>
        <w:pStyle w:val="ListParagraph"/>
        <w:numPr>
          <w:ilvl w:val="0"/>
          <w:numId w:val="18"/>
        </w:numPr>
      </w:pPr>
      <w:r w:rsidRPr="009B7F14">
        <w:t>5% of the next €</w:t>
      </w:r>
      <w:r w:rsidR="00AB3DFE">
        <w:t xml:space="preserve"> </w:t>
      </w:r>
      <w:r w:rsidR="00DE5468">
        <w:t>50 million</w:t>
      </w:r>
    </w:p>
    <w:p w14:paraId="4496B614" w14:textId="77777777" w:rsidR="00924C37" w:rsidRPr="009B7F14" w:rsidRDefault="00E22FD4" w:rsidP="009F01EE">
      <w:pPr>
        <w:pStyle w:val="ListParagraph"/>
        <w:numPr>
          <w:ilvl w:val="0"/>
          <w:numId w:val="18"/>
        </w:numPr>
        <w:autoSpaceDE w:val="0"/>
        <w:autoSpaceDN w:val="0"/>
        <w:adjustRightInd w:val="0"/>
        <w:spacing w:after="0"/>
        <w:rPr>
          <w:rFonts w:cs="Times New Roman"/>
          <w:color w:val="000000"/>
        </w:rPr>
      </w:pPr>
      <w:r w:rsidRPr="009B7F14">
        <w:rPr>
          <w:noProof/>
          <w:lang w:eastAsia="en-GB"/>
        </w:rPr>
        <mc:AlternateContent>
          <mc:Choice Requires="wps">
            <w:drawing>
              <wp:anchor distT="45720" distB="45720" distL="114300" distR="114300" simplePos="0" relativeHeight="251659264" behindDoc="0" locked="0" layoutInCell="1" allowOverlap="1" wp14:anchorId="7620C291" wp14:editId="00710BF3">
                <wp:simplePos x="0" y="0"/>
                <wp:positionH relativeFrom="column">
                  <wp:posOffset>30480</wp:posOffset>
                </wp:positionH>
                <wp:positionV relativeFrom="paragraph">
                  <wp:posOffset>340360</wp:posOffset>
                </wp:positionV>
                <wp:extent cx="5852160" cy="8001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160" cy="800100"/>
                        </a:xfrm>
                        <a:prstGeom prst="rect">
                          <a:avLst/>
                        </a:prstGeom>
                        <a:solidFill>
                          <a:schemeClr val="bg1"/>
                        </a:solidFill>
                        <a:ln w="9525">
                          <a:solidFill>
                            <a:schemeClr val="tx1"/>
                          </a:solidFill>
                          <a:miter lim="800000"/>
                          <a:headEnd/>
                          <a:tailEnd/>
                        </a:ln>
                      </wps:spPr>
                      <wps:txbx>
                        <w:txbxContent>
                          <w:p w14:paraId="6B19F6E8" w14:textId="77777777" w:rsidR="00A87AB3" w:rsidRPr="00C037A7" w:rsidRDefault="00A87AB3" w:rsidP="00681CEA">
                            <w:pPr>
                              <w:rPr>
                                <w:b/>
                                <w:sz w:val="18"/>
                              </w:rPr>
                            </w:pPr>
                            <w:r w:rsidRPr="00C037A7">
                              <w:rPr>
                                <w:b/>
                                <w:sz w:val="18"/>
                              </w:rPr>
                              <w:t>Example:</w:t>
                            </w:r>
                          </w:p>
                          <w:p w14:paraId="5E221632" w14:textId="0BE4285F" w:rsidR="00A87AB3" w:rsidRPr="00C037A7" w:rsidRDefault="00A87AB3" w:rsidP="00681CEA">
                            <w:pPr>
                              <w:rPr>
                                <w:sz w:val="18"/>
                              </w:rPr>
                            </w:pPr>
                            <w:r w:rsidRPr="00C037A7">
                              <w:rPr>
                                <w:sz w:val="18"/>
                              </w:rPr>
                              <w:t>If the total programme budget is €</w:t>
                            </w:r>
                            <w:r>
                              <w:rPr>
                                <w:sz w:val="18"/>
                              </w:rPr>
                              <w:t xml:space="preserve"> </w:t>
                            </w:r>
                            <w:r w:rsidRPr="00C037A7">
                              <w:rPr>
                                <w:sz w:val="18"/>
                              </w:rPr>
                              <w:t>56 million, the maximum management budget is €</w:t>
                            </w:r>
                            <w:r>
                              <w:rPr>
                                <w:sz w:val="18"/>
                              </w:rPr>
                              <w:t xml:space="preserve"> </w:t>
                            </w:r>
                            <w:r w:rsidRPr="00C037A7">
                              <w:rPr>
                                <w:sz w:val="18"/>
                              </w:rPr>
                              <w:t xml:space="preserve">4.1 million. </w:t>
                            </w:r>
                          </w:p>
                          <w:p w14:paraId="5CBA5600" w14:textId="5C011D11" w:rsidR="00A87AB3" w:rsidRPr="00C037A7" w:rsidRDefault="00A87AB3" w:rsidP="00681CEA">
                            <w:pPr>
                              <w:rPr>
                                <w:sz w:val="18"/>
                              </w:rPr>
                            </w:pPr>
                            <w:r w:rsidRPr="00C037A7">
                              <w:rPr>
                                <w:sz w:val="18"/>
                              </w:rPr>
                              <w:t>Calculation: €</w:t>
                            </w:r>
                            <w:r>
                              <w:rPr>
                                <w:sz w:val="18"/>
                              </w:rPr>
                              <w:t xml:space="preserve"> </w:t>
                            </w:r>
                            <w:r w:rsidRPr="00C037A7">
                              <w:rPr>
                                <w:sz w:val="18"/>
                              </w:rPr>
                              <w:t>10m x 10% + €</w:t>
                            </w:r>
                            <w:r>
                              <w:rPr>
                                <w:sz w:val="18"/>
                              </w:rPr>
                              <w:t xml:space="preserve"> </w:t>
                            </w:r>
                            <w:r w:rsidRPr="00C037A7">
                              <w:rPr>
                                <w:sz w:val="18"/>
                              </w:rPr>
                              <w:t>40m x 7% + €</w:t>
                            </w:r>
                            <w:r>
                              <w:rPr>
                                <w:sz w:val="18"/>
                              </w:rPr>
                              <w:t xml:space="preserve"> </w:t>
                            </w:r>
                            <w:r w:rsidRPr="00C037A7">
                              <w:rPr>
                                <w:sz w:val="18"/>
                              </w:rPr>
                              <w:t>6m x 5% = €</w:t>
                            </w:r>
                            <w:r>
                              <w:rPr>
                                <w:sz w:val="18"/>
                              </w:rPr>
                              <w:t xml:space="preserve"> </w:t>
                            </w:r>
                            <w:r w:rsidRPr="00C037A7">
                              <w:rPr>
                                <w:sz w:val="18"/>
                              </w:rPr>
                              <w:t>4.1m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20C291" id="_x0000_t202" coordsize="21600,21600" o:spt="202" path="m,l,21600r21600,l21600,xe">
                <v:stroke joinstyle="miter"/>
                <v:path gradientshapeok="t" o:connecttype="rect"/>
              </v:shapetype>
              <v:shape id="Text Box 2" o:spid="_x0000_s1026" type="#_x0000_t202" style="position:absolute;left:0;text-align:left;margin-left:2.4pt;margin-top:26.8pt;width:460.8pt;height:6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" fillcolor="white [3212]" strokecolor="black [3213]">
                <v:textbox>
                  <w:txbxContent>
                    <w:p w14:paraId="6B19F6E8" w14:textId="77777777" w:rsidR="00A87AB3" w:rsidRPr="00C037A7" w:rsidRDefault="00A87AB3" w:rsidP="00681CEA">
                      <w:pPr>
                        <w:rPr>
                          <w:b/>
                          <w:sz w:val="18"/>
                        </w:rPr>
                      </w:pPr>
                      <w:r w:rsidRPr="00C037A7">
                        <w:rPr>
                          <w:b/>
                          <w:sz w:val="18"/>
                        </w:rPr>
                        <w:t>Example:</w:t>
                      </w:r>
                    </w:p>
                    <w:p w14:paraId="5E221632" w14:textId="0BE4285F" w:rsidR="00A87AB3" w:rsidRPr="00C037A7" w:rsidRDefault="00A87AB3" w:rsidP="00681CEA">
                      <w:pPr>
                        <w:rPr>
                          <w:sz w:val="18"/>
                        </w:rPr>
                      </w:pPr>
                      <w:r w:rsidRPr="00C037A7">
                        <w:rPr>
                          <w:sz w:val="18"/>
                        </w:rPr>
                        <w:t>If the total programme budget is €</w:t>
                      </w:r>
                      <w:r>
                        <w:rPr>
                          <w:sz w:val="18"/>
                        </w:rPr>
                        <w:t xml:space="preserve"> </w:t>
                      </w:r>
                      <w:r w:rsidRPr="00C037A7">
                        <w:rPr>
                          <w:sz w:val="18"/>
                        </w:rPr>
                        <w:t>56 million, the maximum management budget is €</w:t>
                      </w:r>
                      <w:r>
                        <w:rPr>
                          <w:sz w:val="18"/>
                        </w:rPr>
                        <w:t xml:space="preserve"> </w:t>
                      </w:r>
                      <w:r w:rsidRPr="00C037A7">
                        <w:rPr>
                          <w:sz w:val="18"/>
                        </w:rPr>
                        <w:t xml:space="preserve">4.1 million. </w:t>
                      </w:r>
                    </w:p>
                    <w:p w14:paraId="5CBA5600" w14:textId="5C011D11" w:rsidR="00A87AB3" w:rsidRPr="00C037A7" w:rsidRDefault="00A87AB3" w:rsidP="00681CEA">
                      <w:pPr>
                        <w:rPr>
                          <w:sz w:val="18"/>
                        </w:rPr>
                      </w:pPr>
                      <w:r w:rsidRPr="00C037A7">
                        <w:rPr>
                          <w:sz w:val="18"/>
                        </w:rPr>
                        <w:t>Calculation: €</w:t>
                      </w:r>
                      <w:r>
                        <w:rPr>
                          <w:sz w:val="18"/>
                        </w:rPr>
                        <w:t xml:space="preserve"> </w:t>
                      </w:r>
                      <w:r w:rsidRPr="00C037A7">
                        <w:rPr>
                          <w:sz w:val="18"/>
                        </w:rPr>
                        <w:t>10m x 10% + €</w:t>
                      </w:r>
                      <w:r>
                        <w:rPr>
                          <w:sz w:val="18"/>
                        </w:rPr>
                        <w:t xml:space="preserve"> </w:t>
                      </w:r>
                      <w:r w:rsidRPr="00C037A7">
                        <w:rPr>
                          <w:sz w:val="18"/>
                        </w:rPr>
                        <w:t>40m x 7% + €</w:t>
                      </w:r>
                      <w:r>
                        <w:rPr>
                          <w:sz w:val="18"/>
                        </w:rPr>
                        <w:t xml:space="preserve"> </w:t>
                      </w:r>
                      <w:r w:rsidRPr="00C037A7">
                        <w:rPr>
                          <w:sz w:val="18"/>
                        </w:rPr>
                        <w:t>6m x 5% = €</w:t>
                      </w:r>
                      <w:r>
                        <w:rPr>
                          <w:sz w:val="18"/>
                        </w:rPr>
                        <w:t xml:space="preserve"> </w:t>
                      </w:r>
                      <w:r w:rsidRPr="00C037A7">
                        <w:rPr>
                          <w:sz w:val="18"/>
                        </w:rPr>
                        <w:t>4.1m</w:t>
                      </w:r>
                    </w:p>
                  </w:txbxContent>
                </v:textbox>
                <w10:wrap type="square"/>
              </v:shape>
            </w:pict>
          </mc:Fallback>
        </mc:AlternateContent>
      </w:r>
      <w:r w:rsidR="00924C37" w:rsidRPr="009B7F14">
        <w:t xml:space="preserve">4% of the remaining total </w:t>
      </w:r>
      <w:r w:rsidR="00924C37" w:rsidRPr="009B7F14">
        <w:rPr>
          <w:rFonts w:cs="Times New Roman"/>
          <w:color w:val="000000"/>
        </w:rPr>
        <w:t>eligible expenditures of the programme</w:t>
      </w:r>
    </w:p>
    <w:p w14:paraId="64D400EB" w14:textId="77777777" w:rsidR="00681CEA" w:rsidRPr="009B7F14" w:rsidRDefault="00681CEA" w:rsidP="00920571">
      <w:pPr>
        <w:pStyle w:val="Heading3"/>
      </w:pPr>
      <w:r w:rsidRPr="009B7F14">
        <w:t xml:space="preserve">Further details on the internal organisation of the PO </w:t>
      </w:r>
    </w:p>
    <w:p w14:paraId="3434278A" w14:textId="77777777" w:rsidR="001D2E3B" w:rsidRPr="009B7F14" w:rsidRDefault="00EB0DC5" w:rsidP="00EB0DC5">
      <w:r w:rsidRPr="009B7F14">
        <w:t>An overview of the organisation and division of tasks within the PO shall be provided.</w:t>
      </w:r>
      <w:r w:rsidR="001D2E3B" w:rsidRPr="009B7F14">
        <w:t xml:space="preserve"> The PO shall ensure the sufficient separation of tasks</w:t>
      </w:r>
      <w:r w:rsidR="00044084" w:rsidRPr="009B7F14">
        <w:t>, in particular the functional separation of the division responsible for verification of incurred expenditure and approval of payments from other divisions responsible for the implementation of</w:t>
      </w:r>
      <w:r w:rsidR="00610176" w:rsidRPr="009B7F14">
        <w:t xml:space="preserve"> the programme (Reg. Art. 5.6.1 (</w:t>
      </w:r>
      <w:r w:rsidR="00044084" w:rsidRPr="009B7F14">
        <w:t>l</w:t>
      </w:r>
      <w:r w:rsidR="00610176" w:rsidRPr="009B7F14">
        <w:t>)</w:t>
      </w:r>
      <w:r w:rsidR="00044084" w:rsidRPr="009B7F14">
        <w:t>).</w:t>
      </w:r>
    </w:p>
    <w:p w14:paraId="4FDDAFC0" w14:textId="7EFAF4B3" w:rsidR="00EB0DC5" w:rsidRPr="009B7F14" w:rsidRDefault="00EB0DC5" w:rsidP="00EB0DC5">
      <w:r w:rsidRPr="009B7F14">
        <w:t>Information on the role</w:t>
      </w:r>
      <w:r w:rsidR="00DD79CE">
        <w:t xml:space="preserve"> </w:t>
      </w:r>
      <w:r w:rsidRPr="009B7F14">
        <w:t xml:space="preserve">programme partners/implementing agencies will play should also be included when applicable. </w:t>
      </w:r>
      <w:r w:rsidR="00610176" w:rsidRPr="009B7F14">
        <w:t xml:space="preserve">Reg. Art. 5.6 </w:t>
      </w:r>
      <w:r w:rsidRPr="009B7F14">
        <w:t xml:space="preserve">provides details on the responsibilities of the PO </w:t>
      </w:r>
      <w:r w:rsidR="00476B9B">
        <w:t xml:space="preserve">and </w:t>
      </w:r>
      <w:r w:rsidRPr="009B7F14">
        <w:t xml:space="preserve">could serve as a starting point for the overview. The overview should also contain an organigram and details on the staffing. </w:t>
      </w:r>
    </w:p>
    <w:p w14:paraId="06AC31B2" w14:textId="77777777" w:rsidR="00681CEA" w:rsidRPr="009B7F14" w:rsidRDefault="00EB0DC5" w:rsidP="00376576">
      <w:r w:rsidRPr="009B7F14">
        <w:rPr>
          <w:noProof/>
          <w:lang w:eastAsia="en-GB"/>
        </w:rPr>
        <mc:AlternateContent>
          <mc:Choice Requires="wps">
            <w:drawing>
              <wp:anchor distT="0" distB="0" distL="114300" distR="114300" simplePos="0" relativeHeight="251720704" behindDoc="0" locked="0" layoutInCell="1" allowOverlap="1" wp14:anchorId="496C03BB" wp14:editId="72AD8628">
                <wp:simplePos x="0" y="0"/>
                <wp:positionH relativeFrom="margin">
                  <wp:posOffset>2209800</wp:posOffset>
                </wp:positionH>
                <wp:positionV relativeFrom="paragraph">
                  <wp:posOffset>459105</wp:posOffset>
                </wp:positionV>
                <wp:extent cx="3495675" cy="1028700"/>
                <wp:effectExtent l="0" t="0" r="28575" b="152400"/>
                <wp:wrapSquare wrapText="bothSides"/>
                <wp:docPr id="4" name="Rounded Rectangular Callout 4"/>
                <wp:cNvGraphicFramePr/>
                <a:graphic xmlns:a="http://schemas.openxmlformats.org/drawingml/2006/main">
                  <a:graphicData uri="http://schemas.microsoft.com/office/word/2010/wordprocessingShape">
                    <wps:wsp>
                      <wps:cNvSpPr/>
                      <wps:spPr>
                        <a:xfrm>
                          <a:off x="0" y="0"/>
                          <a:ext cx="3495675" cy="1028700"/>
                        </a:xfrm>
                        <a:prstGeom prst="wedgeRoundRectCallout">
                          <a:avLst/>
                        </a:prstGeom>
                      </wps:spPr>
                      <wps:style>
                        <a:lnRef idx="2">
                          <a:schemeClr val="dk1"/>
                        </a:lnRef>
                        <a:fillRef idx="1">
                          <a:schemeClr val="lt1"/>
                        </a:fillRef>
                        <a:effectRef idx="0">
                          <a:schemeClr val="dk1"/>
                        </a:effectRef>
                        <a:fontRef idx="minor">
                          <a:schemeClr val="dk1"/>
                        </a:fontRef>
                      </wps:style>
                      <wps:txbx>
                        <w:txbxContent>
                          <w:p w14:paraId="655FD0A8" w14:textId="77777777" w:rsidR="00A87AB3" w:rsidRPr="00C037A7" w:rsidRDefault="00A87AB3" w:rsidP="007926F5">
                            <w:pPr>
                              <w:jc w:val="left"/>
                              <w:rPr>
                                <w:color w:val="4472C4" w:themeColor="accent5"/>
                                <w:sz w:val="18"/>
                              </w:rPr>
                            </w:pPr>
                            <w:r w:rsidRPr="00C037A7">
                              <w:rPr>
                                <w:color w:val="4472C4" w:themeColor="accent5"/>
                                <w:sz w:val="18"/>
                              </w:rPr>
                              <w:t>In accordance with Reg. Art. 5.6.1 (</w:t>
                            </w:r>
                            <w:proofErr w:type="gramStart"/>
                            <w:r w:rsidRPr="00C037A7">
                              <w:rPr>
                                <w:color w:val="4472C4" w:themeColor="accent5"/>
                                <w:sz w:val="18"/>
                              </w:rPr>
                              <w:t>l</w:t>
                            </w:r>
                            <w:proofErr w:type="gramEnd"/>
                            <w:r w:rsidRPr="00C037A7">
                              <w:rPr>
                                <w:color w:val="4472C4" w:themeColor="accent5"/>
                                <w:sz w:val="18"/>
                              </w:rPr>
                              <w:t>) it is required to have a clear functional separation of the division responsible for verification of financial reports/expenditures incurred from other divisions responsible for the implementation of the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C03B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 o:spid="_x0000_s1027" type="#_x0000_t62" style="position:absolute;left:0;text-align:left;margin-left:174pt;margin-top:36.15pt;width:275.25pt;height:81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" adj="6300,24300" fillcolor="white [3201]" strokecolor="black [3200]" strokeweight="1pt">
                <v:textbox>
                  <w:txbxContent>
                    <w:p w14:paraId="655FD0A8" w14:textId="77777777" w:rsidR="00A87AB3" w:rsidRPr="00C037A7" w:rsidRDefault="00A87AB3" w:rsidP="007926F5">
                      <w:pPr>
                        <w:jc w:val="left"/>
                        <w:rPr>
                          <w:color w:val="4472C4" w:themeColor="accent5"/>
                          <w:sz w:val="18"/>
                        </w:rPr>
                      </w:pPr>
                      <w:r w:rsidRPr="00C037A7">
                        <w:rPr>
                          <w:color w:val="4472C4" w:themeColor="accent5"/>
                          <w:sz w:val="18"/>
                        </w:rPr>
                        <w:t>In accordance with Reg. Art. 5.6.1 (</w:t>
                      </w:r>
                      <w:proofErr w:type="gramStart"/>
                      <w:r w:rsidRPr="00C037A7">
                        <w:rPr>
                          <w:color w:val="4472C4" w:themeColor="accent5"/>
                          <w:sz w:val="18"/>
                        </w:rPr>
                        <w:t>l</w:t>
                      </w:r>
                      <w:proofErr w:type="gramEnd"/>
                      <w:r w:rsidRPr="00C037A7">
                        <w:rPr>
                          <w:color w:val="4472C4" w:themeColor="accent5"/>
                          <w:sz w:val="18"/>
                        </w:rPr>
                        <w:t>) it is required to have a clear functional separation of the division responsible for verification of financial reports/expenditures incurred from other divisions responsible for the implementation of the programme.</w:t>
                      </w:r>
                    </w:p>
                  </w:txbxContent>
                </v:textbox>
                <w10:wrap type="square" anchorx="margin"/>
              </v:shape>
            </w:pict>
          </mc:Fallback>
        </mc:AlternateContent>
      </w:r>
      <w:r w:rsidR="003420F5" w:rsidRPr="009B7F14">
        <w:t xml:space="preserve">The PO </w:t>
      </w:r>
      <w:r w:rsidR="0042179F" w:rsidRPr="009B7F14">
        <w:t xml:space="preserve">shall provide </w:t>
      </w:r>
      <w:r w:rsidR="002108B0" w:rsidRPr="009B7F14">
        <w:t xml:space="preserve">a plan for </w:t>
      </w:r>
      <w:r w:rsidR="00427039" w:rsidRPr="009B7F14">
        <w:t xml:space="preserve">the </w:t>
      </w:r>
      <w:r w:rsidR="00681CEA" w:rsidRPr="009B7F14">
        <w:t xml:space="preserve">verification of expenditures </w:t>
      </w:r>
      <w:r w:rsidR="003420F5" w:rsidRPr="009B7F14">
        <w:t xml:space="preserve">in projects, </w:t>
      </w:r>
      <w:r w:rsidR="002108B0" w:rsidRPr="009B7F14">
        <w:t>including</w:t>
      </w:r>
      <w:r w:rsidR="0042179F" w:rsidRPr="009B7F14">
        <w:t xml:space="preserve"> donor</w:t>
      </w:r>
      <w:r w:rsidR="00681CEA" w:rsidRPr="009B7F14">
        <w:t xml:space="preserve"> </w:t>
      </w:r>
      <w:r w:rsidR="00EF0ECE" w:rsidRPr="009B7F14">
        <w:t>project p</w:t>
      </w:r>
      <w:r w:rsidR="00681CEA" w:rsidRPr="009B7F14">
        <w:t>artners</w:t>
      </w:r>
      <w:r w:rsidR="00A81A07" w:rsidRPr="009B7F14">
        <w:t>’</w:t>
      </w:r>
      <w:r w:rsidR="00681CEA" w:rsidRPr="009B7F14">
        <w:t xml:space="preserve"> </w:t>
      </w:r>
      <w:r w:rsidR="00EF0ECE" w:rsidRPr="009B7F14">
        <w:t>(</w:t>
      </w:r>
      <w:proofErr w:type="spellStart"/>
      <w:r w:rsidR="00EF0ECE" w:rsidRPr="009B7F14">
        <w:t>dpp</w:t>
      </w:r>
      <w:proofErr w:type="spellEnd"/>
      <w:r w:rsidR="00EF0ECE" w:rsidRPr="009B7F14">
        <w:t xml:space="preserve">) </w:t>
      </w:r>
      <w:r w:rsidR="00681CEA" w:rsidRPr="009B7F14">
        <w:t>expenditures.</w:t>
      </w:r>
      <w:r w:rsidR="005026A2" w:rsidRPr="009B7F14">
        <w:t xml:space="preserve"> </w:t>
      </w:r>
      <w:r w:rsidR="00681CEA" w:rsidRPr="009B7F14">
        <w:t xml:space="preserve">It is important that POs have a clear vision </w:t>
      </w:r>
      <w:r w:rsidR="0049108E" w:rsidRPr="009B7F14">
        <w:t>on</w:t>
      </w:r>
      <w:r w:rsidR="00681CEA" w:rsidRPr="009B7F14">
        <w:t xml:space="preserve"> how they w</w:t>
      </w:r>
      <w:r w:rsidR="00F621E2" w:rsidRPr="009B7F14">
        <w:t xml:space="preserve">ill </w:t>
      </w:r>
      <w:r w:rsidR="0049108E" w:rsidRPr="009B7F14">
        <w:t xml:space="preserve">verify expenditures. </w:t>
      </w:r>
      <w:r w:rsidR="00F621E2" w:rsidRPr="009B7F14">
        <w:t xml:space="preserve">The </w:t>
      </w:r>
      <w:r w:rsidR="00D41AF1" w:rsidRPr="009B7F14">
        <w:t xml:space="preserve">FMO encourages a sample and risk based approach (see </w:t>
      </w:r>
      <w:r w:rsidR="00DF1EAA" w:rsidRPr="009B7F14">
        <w:t>section</w:t>
      </w:r>
      <w:r w:rsidR="00061630" w:rsidRPr="009B7F14">
        <w:t xml:space="preserve"> </w:t>
      </w:r>
      <w:r w:rsidR="00DF1EAA" w:rsidRPr="009B7F14">
        <w:fldChar w:fldCharType="begin"/>
      </w:r>
      <w:r w:rsidR="00DF1EAA" w:rsidRPr="009B7F14">
        <w:instrText xml:space="preserve"> REF _Ref461527835 \r \h </w:instrText>
      </w:r>
      <w:r w:rsidR="00376576" w:rsidRPr="009B7F14">
        <w:instrText xml:space="preserve"> \* MERGEFORMAT </w:instrText>
      </w:r>
      <w:r w:rsidR="00DF1EAA" w:rsidRPr="009B7F14">
        <w:fldChar w:fldCharType="separate"/>
      </w:r>
      <w:r w:rsidR="00215E29">
        <w:t>3.3</w:t>
      </w:r>
      <w:r w:rsidR="00DF1EAA" w:rsidRPr="009B7F14">
        <w:fldChar w:fldCharType="end"/>
      </w:r>
      <w:r w:rsidR="00943801" w:rsidRPr="009B7F14">
        <w:t xml:space="preserve"> </w:t>
      </w:r>
      <w:r w:rsidR="00D41AF1" w:rsidRPr="009B7F14">
        <w:t>for further information)</w:t>
      </w:r>
      <w:r w:rsidR="00776BBB" w:rsidRPr="009B7F14">
        <w:t>.</w:t>
      </w:r>
    </w:p>
    <w:p w14:paraId="16FB1E15" w14:textId="1B481EBE" w:rsidR="007926F5" w:rsidRPr="009B7F14" w:rsidRDefault="003420F5" w:rsidP="00376576">
      <w:r w:rsidRPr="009B7F14">
        <w:t xml:space="preserve">The PO shall </w:t>
      </w:r>
      <w:r w:rsidR="00BE3788" w:rsidRPr="009B7F14">
        <w:t xml:space="preserve">provide information on </w:t>
      </w:r>
      <w:r w:rsidRPr="009B7F14">
        <w:t xml:space="preserve">how </w:t>
      </w:r>
      <w:r w:rsidR="00215E29">
        <w:t>it</w:t>
      </w:r>
      <w:r w:rsidRPr="009B7F14">
        <w:t xml:space="preserve"> foresee</w:t>
      </w:r>
      <w:r w:rsidR="00215E29">
        <w:t>s</w:t>
      </w:r>
      <w:r w:rsidRPr="009B7F14">
        <w:t xml:space="preserve"> </w:t>
      </w:r>
      <w:r w:rsidR="005026A2" w:rsidRPr="009B7F14">
        <w:t>making payments to</w:t>
      </w:r>
      <w:r w:rsidRPr="009B7F14">
        <w:t xml:space="preserve"> projects. </w:t>
      </w:r>
      <w:r w:rsidR="003D34E8">
        <w:t>Payment models can be based on pre-financing of forecast expenditure, payment upon receipt of statement of incurred expenditure, attai</w:t>
      </w:r>
      <w:r w:rsidR="00CA50CE">
        <w:t>ning milestones in projects, or</w:t>
      </w:r>
      <w:r w:rsidR="003D34E8">
        <w:t xml:space="preserve"> pre-defined payment schedules. </w:t>
      </w:r>
      <w:r w:rsidR="00DC28D5" w:rsidRPr="009B7F14">
        <w:rPr>
          <w:rFonts w:eastAsia="Times New Roman" w:cs="Times New Roman"/>
        </w:rPr>
        <w:t>T</w:t>
      </w:r>
      <w:r w:rsidR="00347767" w:rsidRPr="009B7F14">
        <w:rPr>
          <w:rFonts w:eastAsia="Times New Roman" w:cs="Times New Roman"/>
        </w:rPr>
        <w:t>he</w:t>
      </w:r>
      <w:r w:rsidR="00776BBB" w:rsidRPr="009B7F14">
        <w:rPr>
          <w:rFonts w:eastAsia="Times New Roman" w:cs="Times New Roman"/>
        </w:rPr>
        <w:t xml:space="preserve"> PO</w:t>
      </w:r>
      <w:r w:rsidRPr="009B7F14">
        <w:rPr>
          <w:rFonts w:eastAsia="Times New Roman" w:cs="Times New Roman"/>
        </w:rPr>
        <w:t xml:space="preserve"> has an obligation to </w:t>
      </w:r>
      <w:r w:rsidR="00776BBB" w:rsidRPr="009B7F14">
        <w:rPr>
          <w:rFonts w:eastAsia="Times New Roman" w:cs="Times New Roman"/>
        </w:rPr>
        <w:t>ensure that payments of the project grants are made in a timely manner</w:t>
      </w:r>
      <w:r w:rsidR="00CA2FAA" w:rsidRPr="009B7F14">
        <w:rPr>
          <w:rFonts w:eastAsia="Times New Roman" w:cs="Times New Roman"/>
        </w:rPr>
        <w:t xml:space="preserve"> (Reg. Art</w:t>
      </w:r>
      <w:r w:rsidR="0005321B" w:rsidRPr="009B7F14">
        <w:rPr>
          <w:rFonts w:eastAsia="Times New Roman" w:cs="Times New Roman"/>
        </w:rPr>
        <w:t>.</w:t>
      </w:r>
      <w:r w:rsidR="00CA2FAA" w:rsidRPr="009B7F14">
        <w:rPr>
          <w:rFonts w:eastAsia="Times New Roman" w:cs="Times New Roman"/>
        </w:rPr>
        <w:t xml:space="preserve"> 5.6.1 (</w:t>
      </w:r>
      <w:r w:rsidR="00DC28D5" w:rsidRPr="009B7F14">
        <w:rPr>
          <w:rFonts w:eastAsia="Times New Roman" w:cs="Times New Roman"/>
        </w:rPr>
        <w:t>f</w:t>
      </w:r>
      <w:r w:rsidR="00CA2FAA" w:rsidRPr="009B7F14">
        <w:rPr>
          <w:rFonts w:eastAsia="Times New Roman" w:cs="Times New Roman"/>
        </w:rPr>
        <w:t>)</w:t>
      </w:r>
      <w:r w:rsidR="00DC28D5" w:rsidRPr="009B7F14">
        <w:rPr>
          <w:rFonts w:eastAsia="Times New Roman" w:cs="Times New Roman"/>
        </w:rPr>
        <w:t>)</w:t>
      </w:r>
      <w:r w:rsidR="005026A2" w:rsidRPr="009B7F14">
        <w:rPr>
          <w:rFonts w:eastAsia="Times New Roman" w:cs="Times New Roman"/>
        </w:rPr>
        <w:t xml:space="preserve">, i.e. </w:t>
      </w:r>
      <w:r w:rsidR="00776BBB" w:rsidRPr="009B7F14">
        <w:rPr>
          <w:rFonts w:eastAsia="Times New Roman" w:cs="Times New Roman"/>
        </w:rPr>
        <w:t>th</w:t>
      </w:r>
      <w:r w:rsidR="00F621E2" w:rsidRPr="009B7F14">
        <w:t xml:space="preserve">e </w:t>
      </w:r>
      <w:r w:rsidR="00215E29">
        <w:t xml:space="preserve">PO </w:t>
      </w:r>
      <w:r w:rsidR="00F621E2" w:rsidRPr="009B7F14">
        <w:t xml:space="preserve">needs to ensure sufficient funds for the projects during the implementation, </w:t>
      </w:r>
      <w:r w:rsidR="005026A2" w:rsidRPr="009B7F14">
        <w:t>effectively avoiding any</w:t>
      </w:r>
      <w:r w:rsidR="007926F5" w:rsidRPr="009B7F14">
        <w:t xml:space="preserve"> liquidity problems.</w:t>
      </w:r>
      <w:r w:rsidR="00E31EFF" w:rsidRPr="009B7F14">
        <w:t xml:space="preserve"> </w:t>
      </w:r>
    </w:p>
    <w:p w14:paraId="3ABDC9BF" w14:textId="77777777" w:rsidR="00681CEA" w:rsidRPr="009B7F14" w:rsidRDefault="00681CEA" w:rsidP="00920571">
      <w:pPr>
        <w:pStyle w:val="Heading3"/>
      </w:pPr>
      <w:r w:rsidRPr="009B7F14">
        <w:t xml:space="preserve">Project related information </w:t>
      </w:r>
    </w:p>
    <w:p w14:paraId="1DF16E1E" w14:textId="5001185D" w:rsidR="00681CEA" w:rsidRPr="009B7F14" w:rsidRDefault="00681CEA" w:rsidP="00376576">
      <w:r w:rsidRPr="009B7F14">
        <w:t xml:space="preserve">The </w:t>
      </w:r>
      <w:r w:rsidR="001614C2" w:rsidRPr="009B7F14">
        <w:t>PO</w:t>
      </w:r>
      <w:r w:rsidRPr="009B7F14">
        <w:t xml:space="preserve"> will </w:t>
      </w:r>
      <w:r w:rsidR="00294F5E" w:rsidRPr="009B7F14">
        <w:t xml:space="preserve">have </w:t>
      </w:r>
      <w:r w:rsidRPr="009B7F14">
        <w:t xml:space="preserve">to provide information on the </w:t>
      </w:r>
      <w:r w:rsidR="00E84C25">
        <w:t xml:space="preserve">grant </w:t>
      </w:r>
      <w:r w:rsidR="00CA63F2">
        <w:t xml:space="preserve">rates that </w:t>
      </w:r>
      <w:r w:rsidRPr="009B7F14">
        <w:t xml:space="preserve">will </w:t>
      </w:r>
      <w:r w:rsidR="00CA63F2">
        <w:t xml:space="preserve">be </w:t>
      </w:r>
      <w:r w:rsidRPr="009B7F14">
        <w:t>award</w:t>
      </w:r>
      <w:r w:rsidR="00CA63F2">
        <w:t>ed</w:t>
      </w:r>
      <w:r w:rsidRPr="009B7F14">
        <w:t xml:space="preserve"> to the project</w:t>
      </w:r>
      <w:r w:rsidR="00F621E2" w:rsidRPr="009B7F14">
        <w:t>s</w:t>
      </w:r>
      <w:r w:rsidR="00CA63F2">
        <w:t xml:space="preserve">. </w:t>
      </w:r>
      <w:r w:rsidR="00F50D23" w:rsidRPr="009B7F14">
        <w:t xml:space="preserve">The foreseen project grant rate along with any </w:t>
      </w:r>
      <w:r w:rsidR="004C0A63" w:rsidRPr="009B7F14">
        <w:t>variations among</w:t>
      </w:r>
      <w:r w:rsidRPr="009B7F14">
        <w:t xml:space="preserve"> applicant</w:t>
      </w:r>
      <w:r w:rsidR="00DF1EAA" w:rsidRPr="009B7F14">
        <w:t>s</w:t>
      </w:r>
      <w:r w:rsidRPr="009B7F14">
        <w:t xml:space="preserve"> </w:t>
      </w:r>
      <w:r w:rsidR="00294F5E" w:rsidRPr="009B7F14">
        <w:t>sho</w:t>
      </w:r>
      <w:r w:rsidR="00F50D23" w:rsidRPr="009B7F14">
        <w:t>uld</w:t>
      </w:r>
      <w:r w:rsidR="00215E29">
        <w:t xml:space="preserve"> </w:t>
      </w:r>
      <w:r w:rsidR="00943801" w:rsidRPr="009B7F14">
        <w:t>be</w:t>
      </w:r>
      <w:r w:rsidRPr="009B7F14">
        <w:t xml:space="preserve"> included in the </w:t>
      </w:r>
      <w:r w:rsidR="00776BBB" w:rsidRPr="009B7F14">
        <w:t>PA</w:t>
      </w:r>
      <w:r w:rsidRPr="009B7F14">
        <w:t>.</w:t>
      </w:r>
    </w:p>
    <w:p w14:paraId="521A448C" w14:textId="77777777" w:rsidR="00654C2A" w:rsidRPr="009B7F14" w:rsidRDefault="00C30E56" w:rsidP="00376576">
      <w:r w:rsidRPr="009B7F14">
        <w:t>If the PO wants to expand (</w:t>
      </w:r>
      <w:r w:rsidR="001D2E3B" w:rsidRPr="009B7F14">
        <w:t>e.g.</w:t>
      </w:r>
      <w:r w:rsidRPr="009B7F14">
        <w:t xml:space="preserve"> max 10% of eligible cost can be land/real estate purchase) or restrict the eligibility of eligible costs </w:t>
      </w:r>
      <w:r w:rsidR="00654C2A" w:rsidRPr="009B7F14">
        <w:t>(</w:t>
      </w:r>
      <w:r w:rsidR="001D2E3B" w:rsidRPr="009B7F14">
        <w:t>e.g.</w:t>
      </w:r>
      <w:r w:rsidR="00654C2A" w:rsidRPr="009B7F14">
        <w:t xml:space="preserve"> overheads and</w:t>
      </w:r>
      <w:r w:rsidR="00592CFA" w:rsidRPr="009B7F14">
        <w:t>/or</w:t>
      </w:r>
      <w:r w:rsidR="00654C2A" w:rsidRPr="009B7F14">
        <w:t xml:space="preserve"> standard scale</w:t>
      </w:r>
      <w:r w:rsidR="00592CFA" w:rsidRPr="009B7F14">
        <w:t>s of unit costs</w:t>
      </w:r>
      <w:r w:rsidRPr="009B7F14">
        <w:t xml:space="preserve">) this </w:t>
      </w:r>
      <w:r w:rsidR="00654C2A" w:rsidRPr="009B7F14">
        <w:t xml:space="preserve">will have to be communicated and justified as </w:t>
      </w:r>
      <w:r w:rsidR="009C577C" w:rsidRPr="009B7F14">
        <w:t xml:space="preserve">this </w:t>
      </w:r>
      <w:r w:rsidRPr="009B7F14">
        <w:t xml:space="preserve">is subject to Donor approval and has to </w:t>
      </w:r>
      <w:r w:rsidR="001D2E3B" w:rsidRPr="009B7F14">
        <w:t xml:space="preserve">be </w:t>
      </w:r>
      <w:r w:rsidRPr="009B7F14">
        <w:t xml:space="preserve">explicitly stipulated in the </w:t>
      </w:r>
      <w:r w:rsidR="001D2E3B" w:rsidRPr="009B7F14">
        <w:t>PA</w:t>
      </w:r>
      <w:r w:rsidR="00654C2A" w:rsidRPr="009B7F14">
        <w:t>.</w:t>
      </w:r>
    </w:p>
    <w:p w14:paraId="54C48BEB" w14:textId="19D6D749" w:rsidR="00681CEA" w:rsidRPr="009B7F14" w:rsidRDefault="00681CEA" w:rsidP="00376576">
      <w:r w:rsidRPr="009B7F14">
        <w:t xml:space="preserve">Project </w:t>
      </w:r>
      <w:r w:rsidR="00A72C7F" w:rsidRPr="009B7F14">
        <w:t>P</w:t>
      </w:r>
      <w:r w:rsidRPr="009B7F14">
        <w:t>romoters</w:t>
      </w:r>
      <w:r w:rsidR="004C38E2" w:rsidRPr="009B7F14">
        <w:t xml:space="preserve"> (PP)</w:t>
      </w:r>
      <w:r w:rsidRPr="009B7F14">
        <w:t xml:space="preserve"> should provide a detailed budget on any pre-defined project included in the concept note.</w:t>
      </w:r>
      <w:r w:rsidR="00971EE2" w:rsidRPr="009B7F14">
        <w:t xml:space="preserve"> Please see</w:t>
      </w:r>
      <w:r w:rsidR="00F37581">
        <w:t xml:space="preserve"> A</w:t>
      </w:r>
      <w:r w:rsidR="00943801" w:rsidRPr="009B7F14">
        <w:t>nnex</w:t>
      </w:r>
      <w:r w:rsidR="00971EE2" w:rsidRPr="009B7F14">
        <w:t xml:space="preserve"> </w:t>
      </w:r>
      <w:r w:rsidR="00943801" w:rsidRPr="009B7F14">
        <w:fldChar w:fldCharType="begin"/>
      </w:r>
      <w:r w:rsidR="00943801" w:rsidRPr="009B7F14">
        <w:instrText xml:space="preserve"> REF _Ref461616549 \r \h </w:instrText>
      </w:r>
      <w:r w:rsidR="00376576" w:rsidRPr="009B7F14">
        <w:instrText xml:space="preserve"> \* MERGEFORMAT </w:instrText>
      </w:r>
      <w:r w:rsidR="00943801" w:rsidRPr="009B7F14">
        <w:fldChar w:fldCharType="separate"/>
      </w:r>
      <w:r w:rsidR="00215E29">
        <w:t>5.1</w:t>
      </w:r>
      <w:r w:rsidR="00943801" w:rsidRPr="009B7F14">
        <w:fldChar w:fldCharType="end"/>
      </w:r>
      <w:r w:rsidR="00943801" w:rsidRPr="009B7F14">
        <w:t xml:space="preserve"> </w:t>
      </w:r>
      <w:r w:rsidR="00971EE2" w:rsidRPr="009B7F14">
        <w:t>for the indicative budget template for the pre-defined project</w:t>
      </w:r>
      <w:r w:rsidR="004C0A63" w:rsidRPr="009B7F14">
        <w:t>s</w:t>
      </w:r>
      <w:r w:rsidR="00971EE2" w:rsidRPr="009B7F14">
        <w:t xml:space="preserve">. </w:t>
      </w:r>
      <w:r w:rsidR="00851975" w:rsidRPr="009B7F14">
        <w:t xml:space="preserve"> </w:t>
      </w:r>
    </w:p>
    <w:p w14:paraId="1338A724" w14:textId="77777777" w:rsidR="00C5514B" w:rsidRPr="009B7F14" w:rsidRDefault="001260E7" w:rsidP="00920571">
      <w:pPr>
        <w:pStyle w:val="Heading2"/>
      </w:pPr>
      <w:bookmarkStart w:id="15" w:name="_Ref462300509"/>
      <w:bookmarkStart w:id="16" w:name="_Ref464482320"/>
      <w:bookmarkStart w:id="17" w:name="_Toc484174831"/>
      <w:r w:rsidRPr="009B7F14">
        <w:t xml:space="preserve">Grant rates and </w:t>
      </w:r>
      <w:r w:rsidR="00DA7821" w:rsidRPr="009B7F14">
        <w:t xml:space="preserve">co-financing </w:t>
      </w:r>
      <w:r w:rsidR="007665DB" w:rsidRPr="009B7F14">
        <w:t>(</w:t>
      </w:r>
      <w:r w:rsidR="00CE1797" w:rsidRPr="009B7F14">
        <w:t xml:space="preserve">Reg. </w:t>
      </w:r>
      <w:r w:rsidR="00336927" w:rsidRPr="009B7F14">
        <w:t>Art</w:t>
      </w:r>
      <w:r w:rsidR="007665DB" w:rsidRPr="009B7F14">
        <w:t>. 6.4)</w:t>
      </w:r>
      <w:bookmarkEnd w:id="15"/>
      <w:bookmarkEnd w:id="16"/>
      <w:bookmarkEnd w:id="17"/>
    </w:p>
    <w:p w14:paraId="7F70D1B6" w14:textId="5842615B" w:rsidR="00CA07FE" w:rsidRPr="009B7F14" w:rsidRDefault="00943801" w:rsidP="00376576">
      <w:r w:rsidRPr="009B7F14">
        <w:rPr>
          <w:rFonts w:cs="Calibri"/>
        </w:rPr>
        <w:t xml:space="preserve">For </w:t>
      </w:r>
      <w:r w:rsidR="00CA07FE" w:rsidRPr="009B7F14">
        <w:rPr>
          <w:rFonts w:cs="Calibri"/>
        </w:rPr>
        <w:t xml:space="preserve">all </w:t>
      </w:r>
      <w:r w:rsidR="00A72C7F" w:rsidRPr="009B7F14">
        <w:rPr>
          <w:rFonts w:cs="Calibri"/>
        </w:rPr>
        <w:t xml:space="preserve">programmes and </w:t>
      </w:r>
      <w:r w:rsidR="00C2171B" w:rsidRPr="009B7F14">
        <w:rPr>
          <w:rFonts w:cs="Calibri"/>
        </w:rPr>
        <w:t>projects</w:t>
      </w:r>
      <w:r w:rsidR="00CA07FE" w:rsidRPr="009B7F14">
        <w:rPr>
          <w:rFonts w:cs="Calibri"/>
        </w:rPr>
        <w:t>, information on the grant rate shall be provided</w:t>
      </w:r>
      <w:r w:rsidR="00810E6F" w:rsidRPr="009B7F14">
        <w:rPr>
          <w:rFonts w:cs="Calibri"/>
        </w:rPr>
        <w:t xml:space="preserve"> (Reg. Art. 6.4)</w:t>
      </w:r>
      <w:r w:rsidR="00CA07FE" w:rsidRPr="009B7F14">
        <w:rPr>
          <w:rFonts w:cs="Calibri"/>
        </w:rPr>
        <w:t xml:space="preserve">. </w:t>
      </w:r>
      <w:r w:rsidR="00CA07FE" w:rsidRPr="009B7F14">
        <w:t xml:space="preserve">The grant rates shall be calculated as a percentage of the total eligible expenditure. As a general rule the co-financing shall be in the form of cash, </w:t>
      </w:r>
      <w:r w:rsidR="005026A2" w:rsidRPr="009B7F14">
        <w:t>including electronic transfers. However, t</w:t>
      </w:r>
      <w:r w:rsidR="00CA07FE" w:rsidRPr="009B7F14">
        <w:t>here are two exceptions to the co-financing in form of cash:</w:t>
      </w:r>
    </w:p>
    <w:p w14:paraId="262A37D1" w14:textId="427C619D" w:rsidR="004C38E2" w:rsidRPr="009B7F14" w:rsidRDefault="00CA07FE" w:rsidP="009F01EE">
      <w:pPr>
        <w:pStyle w:val="ListParagraph"/>
        <w:numPr>
          <w:ilvl w:val="0"/>
          <w:numId w:val="14"/>
        </w:numPr>
      </w:pPr>
      <w:r w:rsidRPr="009B7F14">
        <w:t xml:space="preserve">For projects </w:t>
      </w:r>
      <w:r w:rsidR="00E23C4D" w:rsidRPr="009B7F14">
        <w:t xml:space="preserve">where the </w:t>
      </w:r>
      <w:r w:rsidR="004E3490">
        <w:t>PP</w:t>
      </w:r>
      <w:r w:rsidR="00E23C4D" w:rsidRPr="009B7F14">
        <w:t xml:space="preserve"> is a </w:t>
      </w:r>
      <w:r w:rsidR="00CE1797" w:rsidRPr="009B7F14">
        <w:t>Non-governmental organisation (</w:t>
      </w:r>
      <w:r w:rsidRPr="009B7F14">
        <w:t>NGO</w:t>
      </w:r>
      <w:r w:rsidR="00CE1797" w:rsidRPr="009B7F14">
        <w:t>)</w:t>
      </w:r>
      <w:r w:rsidRPr="009B7F14">
        <w:t xml:space="preserve"> or </w:t>
      </w:r>
      <w:r w:rsidR="00E23C4D" w:rsidRPr="009B7F14">
        <w:t xml:space="preserve">a </w:t>
      </w:r>
      <w:r w:rsidRPr="009B7F14">
        <w:t>social partner</w:t>
      </w:r>
      <w:r w:rsidR="00E23C4D" w:rsidRPr="009B7F14">
        <w:t>,</w:t>
      </w:r>
      <w:r w:rsidR="00A72C7F" w:rsidRPr="009B7F14">
        <w:t xml:space="preserve"> </w:t>
      </w:r>
      <w:r w:rsidRPr="009B7F14">
        <w:t>in-kind contribution in the form of voluntary work may constitute up to 50% of the co-financing required by the programme</w:t>
      </w:r>
      <w:r w:rsidR="00E23C4D" w:rsidRPr="009B7F14">
        <w:t xml:space="preserve"> for the project</w:t>
      </w:r>
      <w:r w:rsidR="00A72C7F" w:rsidRPr="009B7F14">
        <w:t>.</w:t>
      </w:r>
      <w:r w:rsidRPr="009B7F14">
        <w:t xml:space="preserve"> </w:t>
      </w:r>
      <w:r w:rsidR="000262E9" w:rsidRPr="009B7F14">
        <w:t xml:space="preserve"> In exceptional cases, and subject to approval by the </w:t>
      </w:r>
      <w:r w:rsidR="000E1235" w:rsidRPr="009B7F14">
        <w:t>Donors</w:t>
      </w:r>
      <w:r w:rsidR="00CE1797" w:rsidRPr="009B7F14">
        <w:t xml:space="preserve"> (</w:t>
      </w:r>
      <w:r w:rsidR="000262E9" w:rsidRPr="009B7F14">
        <w:t>in-kind contribution in the form of voluntary work may constitute up to 10</w:t>
      </w:r>
      <w:r w:rsidR="00DE5468">
        <w:t>0% of the co-financing required</w:t>
      </w:r>
      <w:r w:rsidR="000262E9" w:rsidRPr="009B7F14">
        <w:t xml:space="preserve"> </w:t>
      </w:r>
    </w:p>
    <w:p w14:paraId="3CAC1AC7" w14:textId="293A658B" w:rsidR="00CA07FE" w:rsidRPr="009B7F14" w:rsidRDefault="00CA07FE" w:rsidP="009F01EE">
      <w:pPr>
        <w:pStyle w:val="ListParagraph"/>
        <w:numPr>
          <w:ilvl w:val="0"/>
          <w:numId w:val="14"/>
        </w:numPr>
      </w:pPr>
      <w:r w:rsidRPr="009B7F14">
        <w:t xml:space="preserve">For projects under </w:t>
      </w:r>
      <w:r w:rsidR="00AF0586" w:rsidRPr="009B7F14">
        <w:t>D</w:t>
      </w:r>
      <w:r w:rsidRPr="009B7F14">
        <w:t xml:space="preserve">onor </w:t>
      </w:r>
      <w:r w:rsidR="00C2171B" w:rsidRPr="009B7F14">
        <w:t>P</w:t>
      </w:r>
      <w:r w:rsidRPr="009B7F14">
        <w:t xml:space="preserve">artnership </w:t>
      </w:r>
      <w:r w:rsidR="00C2171B" w:rsidRPr="009B7F14">
        <w:t>P</w:t>
      </w:r>
      <w:r w:rsidR="004C38E2" w:rsidRPr="009B7F14">
        <w:t>r</w:t>
      </w:r>
      <w:r w:rsidRPr="009B7F14">
        <w:t>ogrammes falling under the programme area “Research”</w:t>
      </w:r>
      <w:r w:rsidR="00E23C4D" w:rsidRPr="009B7F14">
        <w:t>,</w:t>
      </w:r>
      <w:r w:rsidRPr="009B7F14">
        <w:t xml:space="preserve"> in-kind contribution in the form of labour may constitute up to 100% of the co-fin</w:t>
      </w:r>
      <w:r w:rsidR="00DE5468">
        <w:t>ancing required for the project</w:t>
      </w:r>
    </w:p>
    <w:p w14:paraId="318C1391" w14:textId="2748C105" w:rsidR="00CA07FE" w:rsidRPr="009B7F14" w:rsidRDefault="00CA07FE" w:rsidP="00376576">
      <w:r w:rsidRPr="009B7F14">
        <w:t xml:space="preserve">In both cases the PO shall specify the appropriate unit prices for the voluntary work/labour which shall be in accordance with salary normally paid for such </w:t>
      </w:r>
      <w:r w:rsidR="00E23C4D" w:rsidRPr="009B7F14">
        <w:t>work</w:t>
      </w:r>
      <w:r w:rsidRPr="009B7F14">
        <w:t xml:space="preserve"> in the </w:t>
      </w:r>
      <w:r w:rsidR="00D42700" w:rsidRPr="009B7F14">
        <w:t>B</w:t>
      </w:r>
      <w:r w:rsidRPr="009B7F14">
        <w:t xml:space="preserve">eneficiary </w:t>
      </w:r>
      <w:r w:rsidR="00D42700" w:rsidRPr="009B7F14">
        <w:t>S</w:t>
      </w:r>
      <w:r w:rsidRPr="009B7F14">
        <w:t>tate, including the required social security contributions</w:t>
      </w:r>
      <w:r w:rsidR="00CA2FAA" w:rsidRPr="009B7F14">
        <w:t xml:space="preserve"> (Reg. Art. 6.4.6/</w:t>
      </w:r>
      <w:r w:rsidR="00810E6F" w:rsidRPr="009B7F14">
        <w:t>7)</w:t>
      </w:r>
      <w:r w:rsidRPr="009B7F14">
        <w:t>.</w:t>
      </w:r>
      <w:r w:rsidR="00E47B8B" w:rsidRPr="009B7F14">
        <w:t xml:space="preserve"> The unit prices may be adjusted during the implementation of the </w:t>
      </w:r>
      <w:r w:rsidR="00231058">
        <w:t>p</w:t>
      </w:r>
      <w:r w:rsidR="00E47B8B" w:rsidRPr="009B7F14">
        <w:t xml:space="preserve">rogramme in order to </w:t>
      </w:r>
      <w:r w:rsidR="00810E6F" w:rsidRPr="009B7F14">
        <w:t>account for</w:t>
      </w:r>
      <w:r w:rsidR="00E47B8B" w:rsidRPr="009B7F14">
        <w:t xml:space="preserve"> changes in salaries.</w:t>
      </w:r>
    </w:p>
    <w:p w14:paraId="65D78242" w14:textId="77777777" w:rsidR="00CA07FE" w:rsidRPr="009B7F14" w:rsidRDefault="00CA07FE" w:rsidP="00920571">
      <w:pPr>
        <w:pStyle w:val="Heading3"/>
      </w:pPr>
      <w:r w:rsidRPr="009B7F14">
        <w:t>Programme Level</w:t>
      </w:r>
    </w:p>
    <w:p w14:paraId="627235AC" w14:textId="4D799179" w:rsidR="00DA1D29" w:rsidRPr="009B7F14" w:rsidRDefault="006E4115" w:rsidP="00376576">
      <w:r w:rsidRPr="009B7F14">
        <w:rPr>
          <w:noProof/>
          <w:lang w:eastAsia="en-GB"/>
        </w:rPr>
        <mc:AlternateContent>
          <mc:Choice Requires="wps">
            <w:drawing>
              <wp:anchor distT="45720" distB="45720" distL="114300" distR="114300" simplePos="0" relativeHeight="251686912" behindDoc="0" locked="0" layoutInCell="1" allowOverlap="1" wp14:anchorId="766D08C3" wp14:editId="1219B64A">
                <wp:simplePos x="0" y="0"/>
                <wp:positionH relativeFrom="column">
                  <wp:posOffset>-129540</wp:posOffset>
                </wp:positionH>
                <wp:positionV relativeFrom="paragraph">
                  <wp:posOffset>1430020</wp:posOffset>
                </wp:positionV>
                <wp:extent cx="5882640" cy="2385060"/>
                <wp:effectExtent l="0" t="0" r="22860" b="1524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640" cy="2385060"/>
                        </a:xfrm>
                        <a:prstGeom prst="rect">
                          <a:avLst/>
                        </a:prstGeom>
                        <a:solidFill>
                          <a:srgbClr val="FFFFFF"/>
                        </a:solidFill>
                        <a:ln w="9525">
                          <a:solidFill>
                            <a:srgbClr val="000000"/>
                          </a:solidFill>
                          <a:miter lim="800000"/>
                          <a:headEnd/>
                          <a:tailEnd/>
                        </a:ln>
                      </wps:spPr>
                      <wps:txbx>
                        <w:txbxContent>
                          <w:tbl>
                            <w:tblPr>
                              <w:tblStyle w:val="TableGrid"/>
                              <w:tblW w:w="0" w:type="auto"/>
                              <w:tblLook w:val="04A0" w:firstRow="1" w:lastRow="0" w:firstColumn="1" w:lastColumn="0" w:noHBand="0" w:noVBand="1"/>
                            </w:tblPr>
                            <w:tblGrid>
                              <w:gridCol w:w="1731"/>
                              <w:gridCol w:w="1658"/>
                              <w:gridCol w:w="1871"/>
                              <w:gridCol w:w="1836"/>
                              <w:gridCol w:w="1856"/>
                            </w:tblGrid>
                            <w:tr w:rsidR="00A87AB3" w:rsidRPr="007926F5" w14:paraId="64791691" w14:textId="77777777" w:rsidTr="009568B2">
                              <w:trPr>
                                <w:cnfStyle w:val="100000000000" w:firstRow="1" w:lastRow="0" w:firstColumn="0" w:lastColumn="0" w:oddVBand="0" w:evenVBand="0" w:oddHBand="0" w:evenHBand="0" w:firstRowFirstColumn="0" w:firstRowLastColumn="0" w:lastRowFirstColumn="0" w:lastRowLastColumn="0"/>
                                <w:trHeight w:val="452"/>
                              </w:trPr>
                              <w:tc>
                                <w:tcPr>
                                  <w:tcW w:w="527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07A2A71" w14:textId="18151F56" w:rsidR="00A87AB3" w:rsidRPr="007926F5" w:rsidRDefault="00A87AB3" w:rsidP="00215E29">
                                  <w:pPr>
                                    <w:rPr>
                                      <w:sz w:val="16"/>
                                    </w:rPr>
                                  </w:pPr>
                                  <w:r>
                                    <w:t xml:space="preserve">Example: </w:t>
                                  </w:r>
                                  <w:r w:rsidRPr="007926F5">
                                    <w:rPr>
                                      <w:sz w:val="16"/>
                                    </w:rPr>
                                    <w:t>Programme grant rate</w:t>
                                  </w:r>
                                </w:p>
                              </w:tc>
                              <w:tc>
                                <w:tcPr>
                                  <w:tcW w:w="1840" w:type="dxa"/>
                                  <w:tcBorders>
                                    <w:top w:val="single" w:sz="4" w:space="0" w:color="FFFFFF" w:themeColor="background1"/>
                                    <w:left w:val="single" w:sz="4" w:space="0" w:color="FFFFFF" w:themeColor="background1"/>
                                    <w:bottom w:val="single" w:sz="4" w:space="0" w:color="FFFFFF" w:themeColor="background1"/>
                                  </w:tcBorders>
                                  <w:shd w:val="clear" w:color="auto" w:fill="FFFFFF" w:themeFill="background1"/>
                                </w:tcPr>
                                <w:p w14:paraId="49BB1980" w14:textId="77777777" w:rsidR="00A87AB3" w:rsidRPr="007926F5" w:rsidRDefault="00A87AB3" w:rsidP="00C35A45">
                                  <w:pPr>
                                    <w:rPr>
                                      <w:sz w:val="16"/>
                                    </w:rPr>
                                  </w:pPr>
                                </w:p>
                              </w:tc>
                              <w:tc>
                                <w:tcPr>
                                  <w:tcW w:w="1860" w:type="dxa"/>
                                  <w:shd w:val="clear" w:color="auto" w:fill="FFFFFF" w:themeFill="background1"/>
                                  <w:vAlign w:val="center"/>
                                </w:tcPr>
                                <w:p w14:paraId="29CE2548" w14:textId="77777777" w:rsidR="00A87AB3" w:rsidRPr="007926F5" w:rsidRDefault="00A87AB3" w:rsidP="00C35A45">
                                  <w:pPr>
                                    <w:jc w:val="right"/>
                                    <w:rPr>
                                      <w:b w:val="0"/>
                                      <w:sz w:val="16"/>
                                    </w:rPr>
                                  </w:pPr>
                                  <w:r w:rsidRPr="007926F5">
                                    <w:rPr>
                                      <w:b w:val="0"/>
                                      <w:sz w:val="16"/>
                                    </w:rPr>
                                    <w:t>85.0000%</w:t>
                                  </w:r>
                                </w:p>
                              </w:tc>
                            </w:tr>
                            <w:tr w:rsidR="00A87AB3" w:rsidRPr="007926F5" w14:paraId="4195261D" w14:textId="77777777" w:rsidTr="009568B2">
                              <w:trPr>
                                <w:trHeight w:val="407"/>
                              </w:trPr>
                              <w:tc>
                                <w:tcPr>
                                  <w:tcW w:w="1735" w:type="dxa"/>
                                  <w:tcBorders>
                                    <w:top w:val="single" w:sz="4" w:space="0" w:color="FFFFFF" w:themeColor="background1"/>
                                    <w:left w:val="single" w:sz="4" w:space="0" w:color="FFFFFF" w:themeColor="background1"/>
                                    <w:right w:val="single" w:sz="4" w:space="0" w:color="FFFFFF" w:themeColor="background1"/>
                                  </w:tcBorders>
                                </w:tcPr>
                                <w:p w14:paraId="1463A998" w14:textId="77777777" w:rsidR="00A87AB3" w:rsidRPr="007926F5" w:rsidRDefault="00A87AB3" w:rsidP="00C35A45">
                                  <w:pPr>
                                    <w:rPr>
                                      <w:sz w:val="16"/>
                                    </w:rPr>
                                  </w:pPr>
                                </w:p>
                              </w:tc>
                              <w:tc>
                                <w:tcPr>
                                  <w:tcW w:w="1663" w:type="dxa"/>
                                  <w:tcBorders>
                                    <w:top w:val="single" w:sz="4" w:space="0" w:color="FFFFFF" w:themeColor="background1"/>
                                    <w:left w:val="single" w:sz="4" w:space="0" w:color="FFFFFF" w:themeColor="background1"/>
                                    <w:right w:val="single" w:sz="4" w:space="0" w:color="FFFFFF" w:themeColor="background1"/>
                                  </w:tcBorders>
                                </w:tcPr>
                                <w:p w14:paraId="4E6DFBCB" w14:textId="77777777" w:rsidR="00A87AB3" w:rsidRPr="007926F5" w:rsidRDefault="00A87AB3" w:rsidP="00C35A45">
                                  <w:pPr>
                                    <w:rPr>
                                      <w:sz w:val="16"/>
                                    </w:rPr>
                                  </w:pPr>
                                </w:p>
                              </w:tc>
                              <w:tc>
                                <w:tcPr>
                                  <w:tcW w:w="3715" w:type="dxa"/>
                                  <w:gridSpan w:val="2"/>
                                  <w:tcBorders>
                                    <w:top w:val="single" w:sz="4" w:space="0" w:color="FFFFFF" w:themeColor="background1"/>
                                    <w:left w:val="single" w:sz="4" w:space="0" w:color="FFFFFF" w:themeColor="background1"/>
                                    <w:right w:val="single" w:sz="4" w:space="0" w:color="FFFFFF" w:themeColor="background1"/>
                                  </w:tcBorders>
                                </w:tcPr>
                                <w:p w14:paraId="6C6170D6" w14:textId="77777777" w:rsidR="00A87AB3" w:rsidRPr="007926F5" w:rsidRDefault="00A87AB3" w:rsidP="00C35A45">
                                  <w:pPr>
                                    <w:rPr>
                                      <w:sz w:val="16"/>
                                    </w:rPr>
                                  </w:pPr>
                                </w:p>
                              </w:tc>
                              <w:tc>
                                <w:tcPr>
                                  <w:tcW w:w="1860" w:type="dxa"/>
                                  <w:tcBorders>
                                    <w:left w:val="single" w:sz="4" w:space="0" w:color="FFFFFF" w:themeColor="background1"/>
                                    <w:right w:val="single" w:sz="4" w:space="0" w:color="FFFFFF" w:themeColor="background1"/>
                                  </w:tcBorders>
                                </w:tcPr>
                                <w:p w14:paraId="7132B6A1" w14:textId="77777777" w:rsidR="00A87AB3" w:rsidRPr="007926F5" w:rsidRDefault="00A87AB3" w:rsidP="00C35A45">
                                  <w:pPr>
                                    <w:rPr>
                                      <w:sz w:val="16"/>
                                    </w:rPr>
                                  </w:pPr>
                                </w:p>
                              </w:tc>
                            </w:tr>
                            <w:tr w:rsidR="00A87AB3" w:rsidRPr="007926F5" w14:paraId="7F7CF8CB" w14:textId="77777777" w:rsidTr="009568B2">
                              <w:trPr>
                                <w:trHeight w:val="780"/>
                              </w:trPr>
                              <w:tc>
                                <w:tcPr>
                                  <w:tcW w:w="3399" w:type="dxa"/>
                                  <w:gridSpan w:val="2"/>
                                  <w:shd w:val="clear" w:color="auto" w:fill="D9D9D9" w:themeFill="background1" w:themeFillShade="D9"/>
                                  <w:vAlign w:val="center"/>
                                </w:tcPr>
                                <w:p w14:paraId="11E40878" w14:textId="77777777" w:rsidR="00A87AB3" w:rsidRPr="007926F5" w:rsidRDefault="00A87AB3" w:rsidP="00EF19F1">
                                  <w:pPr>
                                    <w:jc w:val="center"/>
                                    <w:rPr>
                                      <w:b/>
                                      <w:sz w:val="16"/>
                                    </w:rPr>
                                  </w:pPr>
                                </w:p>
                              </w:tc>
                              <w:tc>
                                <w:tcPr>
                                  <w:tcW w:w="1874" w:type="dxa"/>
                                  <w:shd w:val="clear" w:color="auto" w:fill="D9D9D9" w:themeFill="background1" w:themeFillShade="D9"/>
                                  <w:vAlign w:val="center"/>
                                </w:tcPr>
                                <w:p w14:paraId="7425A694" w14:textId="77777777" w:rsidR="00A87AB3" w:rsidRPr="007926F5" w:rsidRDefault="00A87AB3" w:rsidP="00EF19F1">
                                  <w:pPr>
                                    <w:jc w:val="center"/>
                                    <w:rPr>
                                      <w:b/>
                                      <w:sz w:val="16"/>
                                    </w:rPr>
                                  </w:pPr>
                                  <w:r w:rsidRPr="007926F5">
                                    <w:rPr>
                                      <w:b/>
                                      <w:sz w:val="16"/>
                                    </w:rPr>
                                    <w:t>Previous advance and interim payments</w:t>
                                  </w:r>
                                </w:p>
                              </w:tc>
                              <w:tc>
                                <w:tcPr>
                                  <w:tcW w:w="1840" w:type="dxa"/>
                                  <w:shd w:val="clear" w:color="auto" w:fill="D9D9D9" w:themeFill="background1" w:themeFillShade="D9"/>
                                  <w:vAlign w:val="center"/>
                                </w:tcPr>
                                <w:p w14:paraId="63746470" w14:textId="77777777" w:rsidR="00A87AB3" w:rsidRPr="007926F5" w:rsidRDefault="00A87AB3" w:rsidP="00EF19F1">
                                  <w:pPr>
                                    <w:jc w:val="center"/>
                                    <w:rPr>
                                      <w:b/>
                                      <w:sz w:val="16"/>
                                    </w:rPr>
                                  </w:pPr>
                                  <w:r w:rsidRPr="007926F5">
                                    <w:rPr>
                                      <w:b/>
                                      <w:sz w:val="16"/>
                                    </w:rPr>
                                    <w:t>Interim payment this period</w:t>
                                  </w:r>
                                </w:p>
                              </w:tc>
                              <w:tc>
                                <w:tcPr>
                                  <w:tcW w:w="1860" w:type="dxa"/>
                                  <w:shd w:val="clear" w:color="auto" w:fill="D9D9D9" w:themeFill="background1" w:themeFillShade="D9"/>
                                  <w:vAlign w:val="center"/>
                                </w:tcPr>
                                <w:p w14:paraId="033E1374" w14:textId="77777777" w:rsidR="00A87AB3" w:rsidRPr="007926F5" w:rsidRDefault="00A87AB3" w:rsidP="00EF19F1">
                                  <w:pPr>
                                    <w:jc w:val="center"/>
                                    <w:rPr>
                                      <w:b/>
                                      <w:sz w:val="16"/>
                                    </w:rPr>
                                  </w:pPr>
                                  <w:r w:rsidRPr="007926F5">
                                    <w:rPr>
                                      <w:b/>
                                      <w:sz w:val="16"/>
                                    </w:rPr>
                                    <w:t>Total to date</w:t>
                                  </w:r>
                                </w:p>
                              </w:tc>
                            </w:tr>
                            <w:tr w:rsidR="00A87AB3" w:rsidRPr="007926F5" w14:paraId="75651F30" w14:textId="77777777" w:rsidTr="009568B2">
                              <w:trPr>
                                <w:trHeight w:val="407"/>
                              </w:trPr>
                              <w:tc>
                                <w:tcPr>
                                  <w:tcW w:w="3399" w:type="dxa"/>
                                  <w:gridSpan w:val="2"/>
                                  <w:vAlign w:val="center"/>
                                </w:tcPr>
                                <w:p w14:paraId="786171AA" w14:textId="77777777" w:rsidR="00A87AB3" w:rsidRPr="007926F5" w:rsidRDefault="00A87AB3" w:rsidP="00EF19F1">
                                  <w:pPr>
                                    <w:jc w:val="left"/>
                                    <w:rPr>
                                      <w:sz w:val="16"/>
                                    </w:rPr>
                                  </w:pPr>
                                  <w:r w:rsidRPr="007926F5">
                                    <w:rPr>
                                      <w:sz w:val="16"/>
                                    </w:rPr>
                                    <w:t>Eligible expenditure</w:t>
                                  </w:r>
                                </w:p>
                              </w:tc>
                              <w:tc>
                                <w:tcPr>
                                  <w:tcW w:w="1874" w:type="dxa"/>
                                  <w:vAlign w:val="center"/>
                                </w:tcPr>
                                <w:p w14:paraId="4D528982" w14:textId="5688CAA8" w:rsidR="00A87AB3" w:rsidRPr="007926F5" w:rsidRDefault="00A87AB3" w:rsidP="00697775">
                                  <w:pPr>
                                    <w:jc w:val="right"/>
                                    <w:rPr>
                                      <w:sz w:val="16"/>
                                    </w:rPr>
                                  </w:pPr>
                                  <w:r w:rsidRPr="007926F5">
                                    <w:rPr>
                                      <w:sz w:val="16"/>
                                    </w:rPr>
                                    <w:t>€</w:t>
                                  </w:r>
                                  <w:r>
                                    <w:rPr>
                                      <w:sz w:val="16"/>
                                    </w:rPr>
                                    <w:t xml:space="preserve"> </w:t>
                                  </w:r>
                                  <w:r w:rsidRPr="007926F5">
                                    <w:rPr>
                                      <w:sz w:val="16"/>
                                    </w:rPr>
                                    <w:t>8</w:t>
                                  </w:r>
                                  <w:r>
                                    <w:rPr>
                                      <w:sz w:val="16"/>
                                    </w:rPr>
                                    <w:t>,</w:t>
                                  </w:r>
                                  <w:r w:rsidRPr="007926F5">
                                    <w:rPr>
                                      <w:sz w:val="16"/>
                                    </w:rPr>
                                    <w:t>930</w:t>
                                  </w:r>
                                  <w:r>
                                    <w:rPr>
                                      <w:sz w:val="16"/>
                                    </w:rPr>
                                    <w:t>,</w:t>
                                  </w:r>
                                  <w:r w:rsidRPr="007926F5">
                                    <w:rPr>
                                      <w:sz w:val="16"/>
                                    </w:rPr>
                                    <w:t>775</w:t>
                                  </w:r>
                                </w:p>
                              </w:tc>
                              <w:tc>
                                <w:tcPr>
                                  <w:tcW w:w="1840" w:type="dxa"/>
                                  <w:vAlign w:val="center"/>
                                </w:tcPr>
                                <w:p w14:paraId="727218B7" w14:textId="6E760A64" w:rsidR="00A87AB3" w:rsidRPr="007926F5" w:rsidRDefault="00A87AB3" w:rsidP="00697775">
                                  <w:pPr>
                                    <w:jc w:val="right"/>
                                    <w:rPr>
                                      <w:sz w:val="16"/>
                                    </w:rPr>
                                  </w:pPr>
                                  <w:r w:rsidRPr="007926F5">
                                    <w:rPr>
                                      <w:sz w:val="16"/>
                                    </w:rPr>
                                    <w:t>€</w:t>
                                  </w:r>
                                  <w:r>
                                    <w:rPr>
                                      <w:sz w:val="16"/>
                                    </w:rPr>
                                    <w:t xml:space="preserve"> </w:t>
                                  </w:r>
                                  <w:r w:rsidRPr="007926F5">
                                    <w:rPr>
                                      <w:sz w:val="16"/>
                                    </w:rPr>
                                    <w:t>60</w:t>
                                  </w:r>
                                  <w:r>
                                    <w:rPr>
                                      <w:sz w:val="16"/>
                                    </w:rPr>
                                    <w:t>,</w:t>
                                  </w:r>
                                  <w:r w:rsidRPr="007926F5">
                                    <w:rPr>
                                      <w:sz w:val="16"/>
                                    </w:rPr>
                                    <w:t>000</w:t>
                                  </w:r>
                                </w:p>
                              </w:tc>
                              <w:tc>
                                <w:tcPr>
                                  <w:tcW w:w="1860" w:type="dxa"/>
                                  <w:vAlign w:val="center"/>
                                </w:tcPr>
                                <w:p w14:paraId="1E2B122E" w14:textId="4A57CD08" w:rsidR="00A87AB3" w:rsidRPr="007926F5" w:rsidRDefault="00A87AB3" w:rsidP="00697775">
                                  <w:pPr>
                                    <w:jc w:val="right"/>
                                    <w:rPr>
                                      <w:sz w:val="16"/>
                                    </w:rPr>
                                  </w:pPr>
                                  <w:r w:rsidRPr="007926F5">
                                    <w:rPr>
                                      <w:sz w:val="16"/>
                                    </w:rPr>
                                    <w:t>€</w:t>
                                  </w:r>
                                  <w:r>
                                    <w:rPr>
                                      <w:sz w:val="16"/>
                                    </w:rPr>
                                    <w:t xml:space="preserve"> </w:t>
                                  </w:r>
                                  <w:r w:rsidRPr="007926F5">
                                    <w:rPr>
                                      <w:sz w:val="16"/>
                                    </w:rPr>
                                    <w:t>8</w:t>
                                  </w:r>
                                  <w:r>
                                    <w:rPr>
                                      <w:sz w:val="16"/>
                                    </w:rPr>
                                    <w:t>,</w:t>
                                  </w:r>
                                  <w:r w:rsidRPr="007926F5">
                                    <w:rPr>
                                      <w:sz w:val="16"/>
                                    </w:rPr>
                                    <w:t>990</w:t>
                                  </w:r>
                                  <w:r>
                                    <w:rPr>
                                      <w:sz w:val="16"/>
                                    </w:rPr>
                                    <w:t>,</w:t>
                                  </w:r>
                                  <w:r w:rsidRPr="007926F5">
                                    <w:rPr>
                                      <w:sz w:val="16"/>
                                    </w:rPr>
                                    <w:t>775</w:t>
                                  </w:r>
                                </w:p>
                              </w:tc>
                            </w:tr>
                            <w:tr w:rsidR="00A87AB3" w:rsidRPr="007926F5" w14:paraId="63494915" w14:textId="77777777" w:rsidTr="009568B2">
                              <w:trPr>
                                <w:trHeight w:val="407"/>
                              </w:trPr>
                              <w:tc>
                                <w:tcPr>
                                  <w:tcW w:w="8974" w:type="dxa"/>
                                  <w:gridSpan w:val="5"/>
                                  <w:shd w:val="clear" w:color="auto" w:fill="D9D9D9" w:themeFill="background1" w:themeFillShade="D9"/>
                                  <w:vAlign w:val="center"/>
                                </w:tcPr>
                                <w:p w14:paraId="436A6248" w14:textId="77777777" w:rsidR="00A87AB3" w:rsidRPr="007926F5" w:rsidRDefault="00A87AB3" w:rsidP="00EF19F1">
                                  <w:pPr>
                                    <w:jc w:val="left"/>
                                    <w:rPr>
                                      <w:sz w:val="16"/>
                                    </w:rPr>
                                  </w:pPr>
                                  <w:r w:rsidRPr="007926F5">
                                    <w:rPr>
                                      <w:sz w:val="16"/>
                                    </w:rPr>
                                    <w:t>Contribution (€)</w:t>
                                  </w:r>
                                </w:p>
                              </w:tc>
                            </w:tr>
                            <w:tr w:rsidR="00A87AB3" w:rsidRPr="007926F5" w14:paraId="4F224C4E" w14:textId="77777777" w:rsidTr="009568B2">
                              <w:trPr>
                                <w:trHeight w:val="407"/>
                              </w:trPr>
                              <w:tc>
                                <w:tcPr>
                                  <w:tcW w:w="3399" w:type="dxa"/>
                                  <w:gridSpan w:val="2"/>
                                  <w:vAlign w:val="center"/>
                                </w:tcPr>
                                <w:p w14:paraId="0D859E2C" w14:textId="77777777" w:rsidR="00A87AB3" w:rsidRPr="007926F5" w:rsidRDefault="00A87AB3" w:rsidP="00EF19F1">
                                  <w:pPr>
                                    <w:jc w:val="left"/>
                                    <w:rPr>
                                      <w:sz w:val="16"/>
                                    </w:rPr>
                                  </w:pPr>
                                  <w:r w:rsidRPr="007926F5">
                                    <w:rPr>
                                      <w:sz w:val="16"/>
                                    </w:rPr>
                                    <w:t>EEA / Norwegian Financial Mechanisms</w:t>
                                  </w:r>
                                </w:p>
                              </w:tc>
                              <w:tc>
                                <w:tcPr>
                                  <w:tcW w:w="1874" w:type="dxa"/>
                                  <w:vAlign w:val="center"/>
                                </w:tcPr>
                                <w:p w14:paraId="5A11B4E8" w14:textId="58D37B14" w:rsidR="00A87AB3" w:rsidRPr="007926F5" w:rsidRDefault="00A87AB3" w:rsidP="00697775">
                                  <w:pPr>
                                    <w:jc w:val="right"/>
                                    <w:rPr>
                                      <w:sz w:val="16"/>
                                    </w:rPr>
                                  </w:pPr>
                                  <w:r w:rsidRPr="007926F5">
                                    <w:rPr>
                                      <w:sz w:val="16"/>
                                    </w:rPr>
                                    <w:t>€</w:t>
                                  </w:r>
                                  <w:r>
                                    <w:rPr>
                                      <w:sz w:val="16"/>
                                    </w:rPr>
                                    <w:t xml:space="preserve"> </w:t>
                                  </w:r>
                                  <w:r w:rsidRPr="007926F5">
                                    <w:rPr>
                                      <w:sz w:val="16"/>
                                    </w:rPr>
                                    <w:t>7</w:t>
                                  </w:r>
                                  <w:r>
                                    <w:rPr>
                                      <w:sz w:val="16"/>
                                    </w:rPr>
                                    <w:t>,</w:t>
                                  </w:r>
                                  <w:r w:rsidRPr="007926F5">
                                    <w:rPr>
                                      <w:sz w:val="16"/>
                                    </w:rPr>
                                    <w:t>591</w:t>
                                  </w:r>
                                  <w:r>
                                    <w:rPr>
                                      <w:sz w:val="16"/>
                                    </w:rPr>
                                    <w:t>,</w:t>
                                  </w:r>
                                  <w:r w:rsidRPr="007926F5">
                                    <w:rPr>
                                      <w:sz w:val="16"/>
                                    </w:rPr>
                                    <w:t>158</w:t>
                                  </w:r>
                                </w:p>
                              </w:tc>
                              <w:tc>
                                <w:tcPr>
                                  <w:tcW w:w="1840" w:type="dxa"/>
                                  <w:vAlign w:val="center"/>
                                </w:tcPr>
                                <w:p w14:paraId="74560796" w14:textId="4179A13A" w:rsidR="00A87AB3" w:rsidRPr="007926F5" w:rsidRDefault="00A87AB3" w:rsidP="00697775">
                                  <w:pPr>
                                    <w:jc w:val="right"/>
                                    <w:rPr>
                                      <w:sz w:val="16"/>
                                    </w:rPr>
                                  </w:pPr>
                                  <w:r w:rsidRPr="007926F5">
                                    <w:rPr>
                                      <w:sz w:val="16"/>
                                    </w:rPr>
                                    <w:t>€</w:t>
                                  </w:r>
                                  <w:r>
                                    <w:rPr>
                                      <w:sz w:val="16"/>
                                    </w:rPr>
                                    <w:t xml:space="preserve"> </w:t>
                                  </w:r>
                                  <w:r w:rsidRPr="007926F5">
                                    <w:rPr>
                                      <w:sz w:val="16"/>
                                    </w:rPr>
                                    <w:t>51</w:t>
                                  </w:r>
                                  <w:r>
                                    <w:rPr>
                                      <w:sz w:val="16"/>
                                    </w:rPr>
                                    <w:t>,</w:t>
                                  </w:r>
                                  <w:r w:rsidRPr="007926F5">
                                    <w:rPr>
                                      <w:sz w:val="16"/>
                                    </w:rPr>
                                    <w:t>000</w:t>
                                  </w:r>
                                </w:p>
                              </w:tc>
                              <w:tc>
                                <w:tcPr>
                                  <w:tcW w:w="1860" w:type="dxa"/>
                                  <w:vAlign w:val="center"/>
                                </w:tcPr>
                                <w:p w14:paraId="236E077F" w14:textId="1081459A" w:rsidR="00A87AB3" w:rsidRPr="007926F5" w:rsidRDefault="00A87AB3" w:rsidP="00697775">
                                  <w:pPr>
                                    <w:jc w:val="right"/>
                                    <w:rPr>
                                      <w:sz w:val="16"/>
                                    </w:rPr>
                                  </w:pPr>
                                  <w:r w:rsidRPr="007926F5">
                                    <w:rPr>
                                      <w:sz w:val="16"/>
                                    </w:rPr>
                                    <w:t>€</w:t>
                                  </w:r>
                                  <w:r>
                                    <w:rPr>
                                      <w:sz w:val="16"/>
                                    </w:rPr>
                                    <w:t xml:space="preserve"> </w:t>
                                  </w:r>
                                  <w:r w:rsidRPr="007926F5">
                                    <w:rPr>
                                      <w:sz w:val="16"/>
                                    </w:rPr>
                                    <w:t>7</w:t>
                                  </w:r>
                                  <w:r>
                                    <w:rPr>
                                      <w:sz w:val="16"/>
                                    </w:rPr>
                                    <w:t>,</w:t>
                                  </w:r>
                                  <w:r w:rsidRPr="007926F5">
                                    <w:rPr>
                                      <w:sz w:val="16"/>
                                    </w:rPr>
                                    <w:t>642</w:t>
                                  </w:r>
                                  <w:r>
                                    <w:rPr>
                                      <w:sz w:val="16"/>
                                    </w:rPr>
                                    <w:t>,</w:t>
                                  </w:r>
                                  <w:r w:rsidRPr="007926F5">
                                    <w:rPr>
                                      <w:sz w:val="16"/>
                                    </w:rPr>
                                    <w:t>158</w:t>
                                  </w:r>
                                </w:p>
                              </w:tc>
                            </w:tr>
                            <w:tr w:rsidR="00A87AB3" w:rsidRPr="007926F5" w14:paraId="144AE723" w14:textId="77777777" w:rsidTr="009568B2">
                              <w:trPr>
                                <w:trHeight w:val="407"/>
                              </w:trPr>
                              <w:tc>
                                <w:tcPr>
                                  <w:tcW w:w="3399" w:type="dxa"/>
                                  <w:gridSpan w:val="2"/>
                                  <w:vAlign w:val="center"/>
                                </w:tcPr>
                                <w:p w14:paraId="71D63CE0" w14:textId="77777777" w:rsidR="00A87AB3" w:rsidRPr="007926F5" w:rsidRDefault="00A87AB3" w:rsidP="00EF19F1">
                                  <w:pPr>
                                    <w:jc w:val="left"/>
                                    <w:rPr>
                                      <w:sz w:val="16"/>
                                    </w:rPr>
                                  </w:pPr>
                                  <w:r w:rsidRPr="007926F5">
                                    <w:rPr>
                                      <w:sz w:val="16"/>
                                    </w:rPr>
                                    <w:t>Co-financing</w:t>
                                  </w:r>
                                </w:p>
                              </w:tc>
                              <w:tc>
                                <w:tcPr>
                                  <w:tcW w:w="1874" w:type="dxa"/>
                                  <w:vAlign w:val="center"/>
                                </w:tcPr>
                                <w:p w14:paraId="42EA56D5" w14:textId="44258542" w:rsidR="00A87AB3" w:rsidRPr="007926F5" w:rsidRDefault="00A87AB3" w:rsidP="00697775">
                                  <w:pPr>
                                    <w:jc w:val="right"/>
                                    <w:rPr>
                                      <w:sz w:val="16"/>
                                    </w:rPr>
                                  </w:pPr>
                                  <w:r w:rsidRPr="007926F5">
                                    <w:rPr>
                                      <w:sz w:val="16"/>
                                    </w:rPr>
                                    <w:t>€</w:t>
                                  </w:r>
                                  <w:r>
                                    <w:rPr>
                                      <w:sz w:val="16"/>
                                    </w:rPr>
                                    <w:t xml:space="preserve"> </w:t>
                                  </w:r>
                                  <w:r w:rsidRPr="007926F5">
                                    <w:rPr>
                                      <w:sz w:val="16"/>
                                    </w:rPr>
                                    <w:t>1</w:t>
                                  </w:r>
                                  <w:r>
                                    <w:rPr>
                                      <w:sz w:val="16"/>
                                    </w:rPr>
                                    <w:t>,</w:t>
                                  </w:r>
                                  <w:r w:rsidRPr="007926F5">
                                    <w:rPr>
                                      <w:sz w:val="16"/>
                                    </w:rPr>
                                    <w:t>339</w:t>
                                  </w:r>
                                  <w:r>
                                    <w:rPr>
                                      <w:sz w:val="16"/>
                                    </w:rPr>
                                    <w:t>,</w:t>
                                  </w:r>
                                  <w:r w:rsidRPr="007926F5">
                                    <w:rPr>
                                      <w:sz w:val="16"/>
                                    </w:rPr>
                                    <w:t>617</w:t>
                                  </w:r>
                                </w:p>
                              </w:tc>
                              <w:tc>
                                <w:tcPr>
                                  <w:tcW w:w="1840" w:type="dxa"/>
                                  <w:vAlign w:val="center"/>
                                </w:tcPr>
                                <w:p w14:paraId="33121427" w14:textId="722B147F" w:rsidR="00A87AB3" w:rsidRPr="007926F5" w:rsidRDefault="00A87AB3" w:rsidP="00697775">
                                  <w:pPr>
                                    <w:jc w:val="right"/>
                                    <w:rPr>
                                      <w:sz w:val="16"/>
                                    </w:rPr>
                                  </w:pPr>
                                  <w:r w:rsidRPr="007926F5">
                                    <w:rPr>
                                      <w:sz w:val="16"/>
                                    </w:rPr>
                                    <w:t>€</w:t>
                                  </w:r>
                                  <w:r>
                                    <w:rPr>
                                      <w:sz w:val="16"/>
                                    </w:rPr>
                                    <w:t xml:space="preserve"> </w:t>
                                  </w:r>
                                  <w:r w:rsidRPr="007926F5">
                                    <w:rPr>
                                      <w:sz w:val="16"/>
                                    </w:rPr>
                                    <w:t>9</w:t>
                                  </w:r>
                                  <w:r>
                                    <w:rPr>
                                      <w:sz w:val="16"/>
                                    </w:rPr>
                                    <w:t>,</w:t>
                                  </w:r>
                                  <w:r w:rsidRPr="007926F5">
                                    <w:rPr>
                                      <w:sz w:val="16"/>
                                    </w:rPr>
                                    <w:t>000</w:t>
                                  </w:r>
                                </w:p>
                              </w:tc>
                              <w:tc>
                                <w:tcPr>
                                  <w:tcW w:w="1860" w:type="dxa"/>
                                  <w:vAlign w:val="center"/>
                                </w:tcPr>
                                <w:p w14:paraId="579BEFC9" w14:textId="79BE3196" w:rsidR="00A87AB3" w:rsidRPr="007926F5" w:rsidRDefault="00A87AB3" w:rsidP="00697775">
                                  <w:pPr>
                                    <w:jc w:val="right"/>
                                    <w:rPr>
                                      <w:sz w:val="16"/>
                                    </w:rPr>
                                  </w:pPr>
                                  <w:r w:rsidRPr="007926F5">
                                    <w:rPr>
                                      <w:sz w:val="16"/>
                                    </w:rPr>
                                    <w:t>€</w:t>
                                  </w:r>
                                  <w:r>
                                    <w:rPr>
                                      <w:sz w:val="16"/>
                                    </w:rPr>
                                    <w:t xml:space="preserve"> </w:t>
                                  </w:r>
                                  <w:r w:rsidRPr="007926F5">
                                    <w:rPr>
                                      <w:sz w:val="16"/>
                                    </w:rPr>
                                    <w:t>1</w:t>
                                  </w:r>
                                  <w:r>
                                    <w:rPr>
                                      <w:sz w:val="16"/>
                                    </w:rPr>
                                    <w:t>,</w:t>
                                  </w:r>
                                  <w:r w:rsidRPr="007926F5">
                                    <w:rPr>
                                      <w:sz w:val="16"/>
                                    </w:rPr>
                                    <w:t>348</w:t>
                                  </w:r>
                                  <w:r>
                                    <w:rPr>
                                      <w:sz w:val="16"/>
                                    </w:rPr>
                                    <w:t>,</w:t>
                                  </w:r>
                                  <w:r w:rsidRPr="007926F5">
                                    <w:rPr>
                                      <w:sz w:val="16"/>
                                    </w:rPr>
                                    <w:t>617</w:t>
                                  </w:r>
                                </w:p>
                              </w:tc>
                            </w:tr>
                          </w:tbl>
                          <w:p w14:paraId="1891D986" w14:textId="77777777" w:rsidR="00A87AB3" w:rsidRDefault="00A87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6D08C3" id="_x0000_t202" coordsize="21600,21600" o:spt="202" path="m,l,21600r21600,l21600,xe">
                <v:stroke joinstyle="miter"/>
                <v:path gradientshapeok="t" o:connecttype="rect"/>
              </v:shapetype>
              <v:shape id="_x0000_s1028" type="#_x0000_t202" style="position:absolute;left:0;text-align:left;margin-left:-10.2pt;margin-top:112.6pt;width:463.2pt;height:187.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">
                <v:textbox>
                  <w:txbxContent>
                    <w:tbl>
                      <w:tblPr>
                        <w:tblStyle w:val="TableGrid"/>
                        <w:tblW w:w="0" w:type="auto"/>
                        <w:tblLook w:val="04A0" w:firstRow="1" w:lastRow="0" w:firstColumn="1" w:lastColumn="0" w:noHBand="0" w:noVBand="1"/>
                      </w:tblPr>
                      <w:tblGrid>
                        <w:gridCol w:w="1731"/>
                        <w:gridCol w:w="1658"/>
                        <w:gridCol w:w="1871"/>
                        <w:gridCol w:w="1836"/>
                        <w:gridCol w:w="1856"/>
                      </w:tblGrid>
                      <w:tr w:rsidR="00A87AB3" w:rsidRPr="007926F5" w14:paraId="64791691" w14:textId="77777777" w:rsidTr="009568B2">
                        <w:trPr>
                          <w:cnfStyle w:val="100000000000" w:firstRow="1" w:lastRow="0" w:firstColumn="0" w:lastColumn="0" w:oddVBand="0" w:evenVBand="0" w:oddHBand="0" w:evenHBand="0" w:firstRowFirstColumn="0" w:firstRowLastColumn="0" w:lastRowFirstColumn="0" w:lastRowLastColumn="0"/>
                          <w:trHeight w:val="452"/>
                        </w:trPr>
                        <w:tc>
                          <w:tcPr>
                            <w:tcW w:w="527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607A2A71" w14:textId="18151F56" w:rsidR="00A87AB3" w:rsidRPr="007926F5" w:rsidRDefault="00A87AB3" w:rsidP="00215E29">
                            <w:pPr>
                              <w:rPr>
                                <w:sz w:val="16"/>
                              </w:rPr>
                            </w:pPr>
                            <w:r>
                              <w:t xml:space="preserve">Example: </w:t>
                            </w:r>
                            <w:r w:rsidRPr="007926F5">
                              <w:rPr>
                                <w:sz w:val="16"/>
                              </w:rPr>
                              <w:t>Programme grant rate</w:t>
                            </w:r>
                          </w:p>
                        </w:tc>
                        <w:tc>
                          <w:tcPr>
                            <w:tcW w:w="1840" w:type="dxa"/>
                            <w:tcBorders>
                              <w:top w:val="single" w:sz="4" w:space="0" w:color="FFFFFF" w:themeColor="background1"/>
                              <w:left w:val="single" w:sz="4" w:space="0" w:color="FFFFFF" w:themeColor="background1"/>
                              <w:bottom w:val="single" w:sz="4" w:space="0" w:color="FFFFFF" w:themeColor="background1"/>
                            </w:tcBorders>
                            <w:shd w:val="clear" w:color="auto" w:fill="FFFFFF" w:themeFill="background1"/>
                          </w:tcPr>
                          <w:p w14:paraId="49BB1980" w14:textId="77777777" w:rsidR="00A87AB3" w:rsidRPr="007926F5" w:rsidRDefault="00A87AB3" w:rsidP="00C35A45">
                            <w:pPr>
                              <w:rPr>
                                <w:sz w:val="16"/>
                              </w:rPr>
                            </w:pPr>
                          </w:p>
                        </w:tc>
                        <w:tc>
                          <w:tcPr>
                            <w:tcW w:w="1860" w:type="dxa"/>
                            <w:shd w:val="clear" w:color="auto" w:fill="FFFFFF" w:themeFill="background1"/>
                            <w:vAlign w:val="center"/>
                          </w:tcPr>
                          <w:p w14:paraId="29CE2548" w14:textId="77777777" w:rsidR="00A87AB3" w:rsidRPr="007926F5" w:rsidRDefault="00A87AB3" w:rsidP="00C35A45">
                            <w:pPr>
                              <w:jc w:val="right"/>
                              <w:rPr>
                                <w:b w:val="0"/>
                                <w:sz w:val="16"/>
                              </w:rPr>
                            </w:pPr>
                            <w:r w:rsidRPr="007926F5">
                              <w:rPr>
                                <w:b w:val="0"/>
                                <w:sz w:val="16"/>
                              </w:rPr>
                              <w:t>85.0000%</w:t>
                            </w:r>
                          </w:p>
                        </w:tc>
                      </w:tr>
                      <w:tr w:rsidR="00A87AB3" w:rsidRPr="007926F5" w14:paraId="4195261D" w14:textId="77777777" w:rsidTr="009568B2">
                        <w:trPr>
                          <w:trHeight w:val="407"/>
                        </w:trPr>
                        <w:tc>
                          <w:tcPr>
                            <w:tcW w:w="1735" w:type="dxa"/>
                            <w:tcBorders>
                              <w:top w:val="single" w:sz="4" w:space="0" w:color="FFFFFF" w:themeColor="background1"/>
                              <w:left w:val="single" w:sz="4" w:space="0" w:color="FFFFFF" w:themeColor="background1"/>
                              <w:right w:val="single" w:sz="4" w:space="0" w:color="FFFFFF" w:themeColor="background1"/>
                            </w:tcBorders>
                          </w:tcPr>
                          <w:p w14:paraId="1463A998" w14:textId="77777777" w:rsidR="00A87AB3" w:rsidRPr="007926F5" w:rsidRDefault="00A87AB3" w:rsidP="00C35A45">
                            <w:pPr>
                              <w:rPr>
                                <w:sz w:val="16"/>
                              </w:rPr>
                            </w:pPr>
                          </w:p>
                        </w:tc>
                        <w:tc>
                          <w:tcPr>
                            <w:tcW w:w="1663" w:type="dxa"/>
                            <w:tcBorders>
                              <w:top w:val="single" w:sz="4" w:space="0" w:color="FFFFFF" w:themeColor="background1"/>
                              <w:left w:val="single" w:sz="4" w:space="0" w:color="FFFFFF" w:themeColor="background1"/>
                              <w:right w:val="single" w:sz="4" w:space="0" w:color="FFFFFF" w:themeColor="background1"/>
                            </w:tcBorders>
                          </w:tcPr>
                          <w:p w14:paraId="4E6DFBCB" w14:textId="77777777" w:rsidR="00A87AB3" w:rsidRPr="007926F5" w:rsidRDefault="00A87AB3" w:rsidP="00C35A45">
                            <w:pPr>
                              <w:rPr>
                                <w:sz w:val="16"/>
                              </w:rPr>
                            </w:pPr>
                          </w:p>
                        </w:tc>
                        <w:tc>
                          <w:tcPr>
                            <w:tcW w:w="3715" w:type="dxa"/>
                            <w:gridSpan w:val="2"/>
                            <w:tcBorders>
                              <w:top w:val="single" w:sz="4" w:space="0" w:color="FFFFFF" w:themeColor="background1"/>
                              <w:left w:val="single" w:sz="4" w:space="0" w:color="FFFFFF" w:themeColor="background1"/>
                              <w:right w:val="single" w:sz="4" w:space="0" w:color="FFFFFF" w:themeColor="background1"/>
                            </w:tcBorders>
                          </w:tcPr>
                          <w:p w14:paraId="6C6170D6" w14:textId="77777777" w:rsidR="00A87AB3" w:rsidRPr="007926F5" w:rsidRDefault="00A87AB3" w:rsidP="00C35A45">
                            <w:pPr>
                              <w:rPr>
                                <w:sz w:val="16"/>
                              </w:rPr>
                            </w:pPr>
                          </w:p>
                        </w:tc>
                        <w:tc>
                          <w:tcPr>
                            <w:tcW w:w="1860" w:type="dxa"/>
                            <w:tcBorders>
                              <w:left w:val="single" w:sz="4" w:space="0" w:color="FFFFFF" w:themeColor="background1"/>
                              <w:right w:val="single" w:sz="4" w:space="0" w:color="FFFFFF" w:themeColor="background1"/>
                            </w:tcBorders>
                          </w:tcPr>
                          <w:p w14:paraId="7132B6A1" w14:textId="77777777" w:rsidR="00A87AB3" w:rsidRPr="007926F5" w:rsidRDefault="00A87AB3" w:rsidP="00C35A45">
                            <w:pPr>
                              <w:rPr>
                                <w:sz w:val="16"/>
                              </w:rPr>
                            </w:pPr>
                          </w:p>
                        </w:tc>
                      </w:tr>
                      <w:tr w:rsidR="00A87AB3" w:rsidRPr="007926F5" w14:paraId="7F7CF8CB" w14:textId="77777777" w:rsidTr="009568B2">
                        <w:trPr>
                          <w:trHeight w:val="780"/>
                        </w:trPr>
                        <w:tc>
                          <w:tcPr>
                            <w:tcW w:w="3399" w:type="dxa"/>
                            <w:gridSpan w:val="2"/>
                            <w:shd w:val="clear" w:color="auto" w:fill="D9D9D9" w:themeFill="background1" w:themeFillShade="D9"/>
                            <w:vAlign w:val="center"/>
                          </w:tcPr>
                          <w:p w14:paraId="11E40878" w14:textId="77777777" w:rsidR="00A87AB3" w:rsidRPr="007926F5" w:rsidRDefault="00A87AB3" w:rsidP="00EF19F1">
                            <w:pPr>
                              <w:jc w:val="center"/>
                              <w:rPr>
                                <w:b/>
                                <w:sz w:val="16"/>
                              </w:rPr>
                            </w:pPr>
                          </w:p>
                        </w:tc>
                        <w:tc>
                          <w:tcPr>
                            <w:tcW w:w="1874" w:type="dxa"/>
                            <w:shd w:val="clear" w:color="auto" w:fill="D9D9D9" w:themeFill="background1" w:themeFillShade="D9"/>
                            <w:vAlign w:val="center"/>
                          </w:tcPr>
                          <w:p w14:paraId="7425A694" w14:textId="77777777" w:rsidR="00A87AB3" w:rsidRPr="007926F5" w:rsidRDefault="00A87AB3" w:rsidP="00EF19F1">
                            <w:pPr>
                              <w:jc w:val="center"/>
                              <w:rPr>
                                <w:b/>
                                <w:sz w:val="16"/>
                              </w:rPr>
                            </w:pPr>
                            <w:r w:rsidRPr="007926F5">
                              <w:rPr>
                                <w:b/>
                                <w:sz w:val="16"/>
                              </w:rPr>
                              <w:t>Previous advance and interim payments</w:t>
                            </w:r>
                          </w:p>
                        </w:tc>
                        <w:tc>
                          <w:tcPr>
                            <w:tcW w:w="1840" w:type="dxa"/>
                            <w:shd w:val="clear" w:color="auto" w:fill="D9D9D9" w:themeFill="background1" w:themeFillShade="D9"/>
                            <w:vAlign w:val="center"/>
                          </w:tcPr>
                          <w:p w14:paraId="63746470" w14:textId="77777777" w:rsidR="00A87AB3" w:rsidRPr="007926F5" w:rsidRDefault="00A87AB3" w:rsidP="00EF19F1">
                            <w:pPr>
                              <w:jc w:val="center"/>
                              <w:rPr>
                                <w:b/>
                                <w:sz w:val="16"/>
                              </w:rPr>
                            </w:pPr>
                            <w:r w:rsidRPr="007926F5">
                              <w:rPr>
                                <w:b/>
                                <w:sz w:val="16"/>
                              </w:rPr>
                              <w:t>Interim payment this period</w:t>
                            </w:r>
                          </w:p>
                        </w:tc>
                        <w:tc>
                          <w:tcPr>
                            <w:tcW w:w="1860" w:type="dxa"/>
                            <w:shd w:val="clear" w:color="auto" w:fill="D9D9D9" w:themeFill="background1" w:themeFillShade="D9"/>
                            <w:vAlign w:val="center"/>
                          </w:tcPr>
                          <w:p w14:paraId="033E1374" w14:textId="77777777" w:rsidR="00A87AB3" w:rsidRPr="007926F5" w:rsidRDefault="00A87AB3" w:rsidP="00EF19F1">
                            <w:pPr>
                              <w:jc w:val="center"/>
                              <w:rPr>
                                <w:b/>
                                <w:sz w:val="16"/>
                              </w:rPr>
                            </w:pPr>
                            <w:r w:rsidRPr="007926F5">
                              <w:rPr>
                                <w:b/>
                                <w:sz w:val="16"/>
                              </w:rPr>
                              <w:t>Total to date</w:t>
                            </w:r>
                          </w:p>
                        </w:tc>
                      </w:tr>
                      <w:tr w:rsidR="00A87AB3" w:rsidRPr="007926F5" w14:paraId="75651F30" w14:textId="77777777" w:rsidTr="009568B2">
                        <w:trPr>
                          <w:trHeight w:val="407"/>
                        </w:trPr>
                        <w:tc>
                          <w:tcPr>
                            <w:tcW w:w="3399" w:type="dxa"/>
                            <w:gridSpan w:val="2"/>
                            <w:vAlign w:val="center"/>
                          </w:tcPr>
                          <w:p w14:paraId="786171AA" w14:textId="77777777" w:rsidR="00A87AB3" w:rsidRPr="007926F5" w:rsidRDefault="00A87AB3" w:rsidP="00EF19F1">
                            <w:pPr>
                              <w:jc w:val="left"/>
                              <w:rPr>
                                <w:sz w:val="16"/>
                              </w:rPr>
                            </w:pPr>
                            <w:r w:rsidRPr="007926F5">
                              <w:rPr>
                                <w:sz w:val="16"/>
                              </w:rPr>
                              <w:t>Eligible expenditure</w:t>
                            </w:r>
                          </w:p>
                        </w:tc>
                        <w:tc>
                          <w:tcPr>
                            <w:tcW w:w="1874" w:type="dxa"/>
                            <w:vAlign w:val="center"/>
                          </w:tcPr>
                          <w:p w14:paraId="4D528982" w14:textId="5688CAA8" w:rsidR="00A87AB3" w:rsidRPr="007926F5" w:rsidRDefault="00A87AB3" w:rsidP="00697775">
                            <w:pPr>
                              <w:jc w:val="right"/>
                              <w:rPr>
                                <w:sz w:val="16"/>
                              </w:rPr>
                            </w:pPr>
                            <w:r w:rsidRPr="007926F5">
                              <w:rPr>
                                <w:sz w:val="16"/>
                              </w:rPr>
                              <w:t>€</w:t>
                            </w:r>
                            <w:r>
                              <w:rPr>
                                <w:sz w:val="16"/>
                              </w:rPr>
                              <w:t xml:space="preserve"> </w:t>
                            </w:r>
                            <w:r w:rsidRPr="007926F5">
                              <w:rPr>
                                <w:sz w:val="16"/>
                              </w:rPr>
                              <w:t>8</w:t>
                            </w:r>
                            <w:r>
                              <w:rPr>
                                <w:sz w:val="16"/>
                              </w:rPr>
                              <w:t>,</w:t>
                            </w:r>
                            <w:r w:rsidRPr="007926F5">
                              <w:rPr>
                                <w:sz w:val="16"/>
                              </w:rPr>
                              <w:t>930</w:t>
                            </w:r>
                            <w:r>
                              <w:rPr>
                                <w:sz w:val="16"/>
                              </w:rPr>
                              <w:t>,</w:t>
                            </w:r>
                            <w:r w:rsidRPr="007926F5">
                              <w:rPr>
                                <w:sz w:val="16"/>
                              </w:rPr>
                              <w:t>775</w:t>
                            </w:r>
                          </w:p>
                        </w:tc>
                        <w:tc>
                          <w:tcPr>
                            <w:tcW w:w="1840" w:type="dxa"/>
                            <w:vAlign w:val="center"/>
                          </w:tcPr>
                          <w:p w14:paraId="727218B7" w14:textId="6E760A64" w:rsidR="00A87AB3" w:rsidRPr="007926F5" w:rsidRDefault="00A87AB3" w:rsidP="00697775">
                            <w:pPr>
                              <w:jc w:val="right"/>
                              <w:rPr>
                                <w:sz w:val="16"/>
                              </w:rPr>
                            </w:pPr>
                            <w:r w:rsidRPr="007926F5">
                              <w:rPr>
                                <w:sz w:val="16"/>
                              </w:rPr>
                              <w:t>€</w:t>
                            </w:r>
                            <w:r>
                              <w:rPr>
                                <w:sz w:val="16"/>
                              </w:rPr>
                              <w:t xml:space="preserve"> </w:t>
                            </w:r>
                            <w:r w:rsidRPr="007926F5">
                              <w:rPr>
                                <w:sz w:val="16"/>
                              </w:rPr>
                              <w:t>60</w:t>
                            </w:r>
                            <w:r>
                              <w:rPr>
                                <w:sz w:val="16"/>
                              </w:rPr>
                              <w:t>,</w:t>
                            </w:r>
                            <w:r w:rsidRPr="007926F5">
                              <w:rPr>
                                <w:sz w:val="16"/>
                              </w:rPr>
                              <w:t>000</w:t>
                            </w:r>
                          </w:p>
                        </w:tc>
                        <w:tc>
                          <w:tcPr>
                            <w:tcW w:w="1860" w:type="dxa"/>
                            <w:vAlign w:val="center"/>
                          </w:tcPr>
                          <w:p w14:paraId="1E2B122E" w14:textId="4A57CD08" w:rsidR="00A87AB3" w:rsidRPr="007926F5" w:rsidRDefault="00A87AB3" w:rsidP="00697775">
                            <w:pPr>
                              <w:jc w:val="right"/>
                              <w:rPr>
                                <w:sz w:val="16"/>
                              </w:rPr>
                            </w:pPr>
                            <w:r w:rsidRPr="007926F5">
                              <w:rPr>
                                <w:sz w:val="16"/>
                              </w:rPr>
                              <w:t>€</w:t>
                            </w:r>
                            <w:r>
                              <w:rPr>
                                <w:sz w:val="16"/>
                              </w:rPr>
                              <w:t xml:space="preserve"> </w:t>
                            </w:r>
                            <w:r w:rsidRPr="007926F5">
                              <w:rPr>
                                <w:sz w:val="16"/>
                              </w:rPr>
                              <w:t>8</w:t>
                            </w:r>
                            <w:r>
                              <w:rPr>
                                <w:sz w:val="16"/>
                              </w:rPr>
                              <w:t>,</w:t>
                            </w:r>
                            <w:r w:rsidRPr="007926F5">
                              <w:rPr>
                                <w:sz w:val="16"/>
                              </w:rPr>
                              <w:t>990</w:t>
                            </w:r>
                            <w:r>
                              <w:rPr>
                                <w:sz w:val="16"/>
                              </w:rPr>
                              <w:t>,</w:t>
                            </w:r>
                            <w:r w:rsidRPr="007926F5">
                              <w:rPr>
                                <w:sz w:val="16"/>
                              </w:rPr>
                              <w:t>775</w:t>
                            </w:r>
                          </w:p>
                        </w:tc>
                      </w:tr>
                      <w:tr w:rsidR="00A87AB3" w:rsidRPr="007926F5" w14:paraId="63494915" w14:textId="77777777" w:rsidTr="009568B2">
                        <w:trPr>
                          <w:trHeight w:val="407"/>
                        </w:trPr>
                        <w:tc>
                          <w:tcPr>
                            <w:tcW w:w="8974" w:type="dxa"/>
                            <w:gridSpan w:val="5"/>
                            <w:shd w:val="clear" w:color="auto" w:fill="D9D9D9" w:themeFill="background1" w:themeFillShade="D9"/>
                            <w:vAlign w:val="center"/>
                          </w:tcPr>
                          <w:p w14:paraId="436A6248" w14:textId="77777777" w:rsidR="00A87AB3" w:rsidRPr="007926F5" w:rsidRDefault="00A87AB3" w:rsidP="00EF19F1">
                            <w:pPr>
                              <w:jc w:val="left"/>
                              <w:rPr>
                                <w:sz w:val="16"/>
                              </w:rPr>
                            </w:pPr>
                            <w:r w:rsidRPr="007926F5">
                              <w:rPr>
                                <w:sz w:val="16"/>
                              </w:rPr>
                              <w:t>Contribution (€)</w:t>
                            </w:r>
                          </w:p>
                        </w:tc>
                      </w:tr>
                      <w:tr w:rsidR="00A87AB3" w:rsidRPr="007926F5" w14:paraId="4F224C4E" w14:textId="77777777" w:rsidTr="009568B2">
                        <w:trPr>
                          <w:trHeight w:val="407"/>
                        </w:trPr>
                        <w:tc>
                          <w:tcPr>
                            <w:tcW w:w="3399" w:type="dxa"/>
                            <w:gridSpan w:val="2"/>
                            <w:vAlign w:val="center"/>
                          </w:tcPr>
                          <w:p w14:paraId="0D859E2C" w14:textId="77777777" w:rsidR="00A87AB3" w:rsidRPr="007926F5" w:rsidRDefault="00A87AB3" w:rsidP="00EF19F1">
                            <w:pPr>
                              <w:jc w:val="left"/>
                              <w:rPr>
                                <w:sz w:val="16"/>
                              </w:rPr>
                            </w:pPr>
                            <w:r w:rsidRPr="007926F5">
                              <w:rPr>
                                <w:sz w:val="16"/>
                              </w:rPr>
                              <w:t>EEA / Norwegian Financial Mechanisms</w:t>
                            </w:r>
                          </w:p>
                        </w:tc>
                        <w:tc>
                          <w:tcPr>
                            <w:tcW w:w="1874" w:type="dxa"/>
                            <w:vAlign w:val="center"/>
                          </w:tcPr>
                          <w:p w14:paraId="5A11B4E8" w14:textId="58D37B14" w:rsidR="00A87AB3" w:rsidRPr="007926F5" w:rsidRDefault="00A87AB3" w:rsidP="00697775">
                            <w:pPr>
                              <w:jc w:val="right"/>
                              <w:rPr>
                                <w:sz w:val="16"/>
                              </w:rPr>
                            </w:pPr>
                            <w:r w:rsidRPr="007926F5">
                              <w:rPr>
                                <w:sz w:val="16"/>
                              </w:rPr>
                              <w:t>€</w:t>
                            </w:r>
                            <w:r>
                              <w:rPr>
                                <w:sz w:val="16"/>
                              </w:rPr>
                              <w:t xml:space="preserve"> </w:t>
                            </w:r>
                            <w:r w:rsidRPr="007926F5">
                              <w:rPr>
                                <w:sz w:val="16"/>
                              </w:rPr>
                              <w:t>7</w:t>
                            </w:r>
                            <w:r>
                              <w:rPr>
                                <w:sz w:val="16"/>
                              </w:rPr>
                              <w:t>,</w:t>
                            </w:r>
                            <w:r w:rsidRPr="007926F5">
                              <w:rPr>
                                <w:sz w:val="16"/>
                              </w:rPr>
                              <w:t>591</w:t>
                            </w:r>
                            <w:r>
                              <w:rPr>
                                <w:sz w:val="16"/>
                              </w:rPr>
                              <w:t>,</w:t>
                            </w:r>
                            <w:r w:rsidRPr="007926F5">
                              <w:rPr>
                                <w:sz w:val="16"/>
                              </w:rPr>
                              <w:t>158</w:t>
                            </w:r>
                          </w:p>
                        </w:tc>
                        <w:tc>
                          <w:tcPr>
                            <w:tcW w:w="1840" w:type="dxa"/>
                            <w:vAlign w:val="center"/>
                          </w:tcPr>
                          <w:p w14:paraId="74560796" w14:textId="4179A13A" w:rsidR="00A87AB3" w:rsidRPr="007926F5" w:rsidRDefault="00A87AB3" w:rsidP="00697775">
                            <w:pPr>
                              <w:jc w:val="right"/>
                              <w:rPr>
                                <w:sz w:val="16"/>
                              </w:rPr>
                            </w:pPr>
                            <w:r w:rsidRPr="007926F5">
                              <w:rPr>
                                <w:sz w:val="16"/>
                              </w:rPr>
                              <w:t>€</w:t>
                            </w:r>
                            <w:r>
                              <w:rPr>
                                <w:sz w:val="16"/>
                              </w:rPr>
                              <w:t xml:space="preserve"> </w:t>
                            </w:r>
                            <w:r w:rsidRPr="007926F5">
                              <w:rPr>
                                <w:sz w:val="16"/>
                              </w:rPr>
                              <w:t>51</w:t>
                            </w:r>
                            <w:r>
                              <w:rPr>
                                <w:sz w:val="16"/>
                              </w:rPr>
                              <w:t>,</w:t>
                            </w:r>
                            <w:r w:rsidRPr="007926F5">
                              <w:rPr>
                                <w:sz w:val="16"/>
                              </w:rPr>
                              <w:t>000</w:t>
                            </w:r>
                          </w:p>
                        </w:tc>
                        <w:tc>
                          <w:tcPr>
                            <w:tcW w:w="1860" w:type="dxa"/>
                            <w:vAlign w:val="center"/>
                          </w:tcPr>
                          <w:p w14:paraId="236E077F" w14:textId="1081459A" w:rsidR="00A87AB3" w:rsidRPr="007926F5" w:rsidRDefault="00A87AB3" w:rsidP="00697775">
                            <w:pPr>
                              <w:jc w:val="right"/>
                              <w:rPr>
                                <w:sz w:val="16"/>
                              </w:rPr>
                            </w:pPr>
                            <w:r w:rsidRPr="007926F5">
                              <w:rPr>
                                <w:sz w:val="16"/>
                              </w:rPr>
                              <w:t>€</w:t>
                            </w:r>
                            <w:r>
                              <w:rPr>
                                <w:sz w:val="16"/>
                              </w:rPr>
                              <w:t xml:space="preserve"> </w:t>
                            </w:r>
                            <w:r w:rsidRPr="007926F5">
                              <w:rPr>
                                <w:sz w:val="16"/>
                              </w:rPr>
                              <w:t>7</w:t>
                            </w:r>
                            <w:r>
                              <w:rPr>
                                <w:sz w:val="16"/>
                              </w:rPr>
                              <w:t>,</w:t>
                            </w:r>
                            <w:r w:rsidRPr="007926F5">
                              <w:rPr>
                                <w:sz w:val="16"/>
                              </w:rPr>
                              <w:t>642</w:t>
                            </w:r>
                            <w:r>
                              <w:rPr>
                                <w:sz w:val="16"/>
                              </w:rPr>
                              <w:t>,</w:t>
                            </w:r>
                            <w:r w:rsidRPr="007926F5">
                              <w:rPr>
                                <w:sz w:val="16"/>
                              </w:rPr>
                              <w:t>158</w:t>
                            </w:r>
                          </w:p>
                        </w:tc>
                      </w:tr>
                      <w:tr w:rsidR="00A87AB3" w:rsidRPr="007926F5" w14:paraId="144AE723" w14:textId="77777777" w:rsidTr="009568B2">
                        <w:trPr>
                          <w:trHeight w:val="407"/>
                        </w:trPr>
                        <w:tc>
                          <w:tcPr>
                            <w:tcW w:w="3399" w:type="dxa"/>
                            <w:gridSpan w:val="2"/>
                            <w:vAlign w:val="center"/>
                          </w:tcPr>
                          <w:p w14:paraId="71D63CE0" w14:textId="77777777" w:rsidR="00A87AB3" w:rsidRPr="007926F5" w:rsidRDefault="00A87AB3" w:rsidP="00EF19F1">
                            <w:pPr>
                              <w:jc w:val="left"/>
                              <w:rPr>
                                <w:sz w:val="16"/>
                              </w:rPr>
                            </w:pPr>
                            <w:r w:rsidRPr="007926F5">
                              <w:rPr>
                                <w:sz w:val="16"/>
                              </w:rPr>
                              <w:t>Co-financing</w:t>
                            </w:r>
                          </w:p>
                        </w:tc>
                        <w:tc>
                          <w:tcPr>
                            <w:tcW w:w="1874" w:type="dxa"/>
                            <w:vAlign w:val="center"/>
                          </w:tcPr>
                          <w:p w14:paraId="42EA56D5" w14:textId="44258542" w:rsidR="00A87AB3" w:rsidRPr="007926F5" w:rsidRDefault="00A87AB3" w:rsidP="00697775">
                            <w:pPr>
                              <w:jc w:val="right"/>
                              <w:rPr>
                                <w:sz w:val="16"/>
                              </w:rPr>
                            </w:pPr>
                            <w:r w:rsidRPr="007926F5">
                              <w:rPr>
                                <w:sz w:val="16"/>
                              </w:rPr>
                              <w:t>€</w:t>
                            </w:r>
                            <w:r>
                              <w:rPr>
                                <w:sz w:val="16"/>
                              </w:rPr>
                              <w:t xml:space="preserve"> </w:t>
                            </w:r>
                            <w:r w:rsidRPr="007926F5">
                              <w:rPr>
                                <w:sz w:val="16"/>
                              </w:rPr>
                              <w:t>1</w:t>
                            </w:r>
                            <w:r>
                              <w:rPr>
                                <w:sz w:val="16"/>
                              </w:rPr>
                              <w:t>,</w:t>
                            </w:r>
                            <w:r w:rsidRPr="007926F5">
                              <w:rPr>
                                <w:sz w:val="16"/>
                              </w:rPr>
                              <w:t>339</w:t>
                            </w:r>
                            <w:r>
                              <w:rPr>
                                <w:sz w:val="16"/>
                              </w:rPr>
                              <w:t>,</w:t>
                            </w:r>
                            <w:r w:rsidRPr="007926F5">
                              <w:rPr>
                                <w:sz w:val="16"/>
                              </w:rPr>
                              <w:t>617</w:t>
                            </w:r>
                          </w:p>
                        </w:tc>
                        <w:tc>
                          <w:tcPr>
                            <w:tcW w:w="1840" w:type="dxa"/>
                            <w:vAlign w:val="center"/>
                          </w:tcPr>
                          <w:p w14:paraId="33121427" w14:textId="722B147F" w:rsidR="00A87AB3" w:rsidRPr="007926F5" w:rsidRDefault="00A87AB3" w:rsidP="00697775">
                            <w:pPr>
                              <w:jc w:val="right"/>
                              <w:rPr>
                                <w:sz w:val="16"/>
                              </w:rPr>
                            </w:pPr>
                            <w:r w:rsidRPr="007926F5">
                              <w:rPr>
                                <w:sz w:val="16"/>
                              </w:rPr>
                              <w:t>€</w:t>
                            </w:r>
                            <w:r>
                              <w:rPr>
                                <w:sz w:val="16"/>
                              </w:rPr>
                              <w:t xml:space="preserve"> </w:t>
                            </w:r>
                            <w:r w:rsidRPr="007926F5">
                              <w:rPr>
                                <w:sz w:val="16"/>
                              </w:rPr>
                              <w:t>9</w:t>
                            </w:r>
                            <w:r>
                              <w:rPr>
                                <w:sz w:val="16"/>
                              </w:rPr>
                              <w:t>,</w:t>
                            </w:r>
                            <w:r w:rsidRPr="007926F5">
                              <w:rPr>
                                <w:sz w:val="16"/>
                              </w:rPr>
                              <w:t>000</w:t>
                            </w:r>
                          </w:p>
                        </w:tc>
                        <w:tc>
                          <w:tcPr>
                            <w:tcW w:w="1860" w:type="dxa"/>
                            <w:vAlign w:val="center"/>
                          </w:tcPr>
                          <w:p w14:paraId="579BEFC9" w14:textId="79BE3196" w:rsidR="00A87AB3" w:rsidRPr="007926F5" w:rsidRDefault="00A87AB3" w:rsidP="00697775">
                            <w:pPr>
                              <w:jc w:val="right"/>
                              <w:rPr>
                                <w:sz w:val="16"/>
                              </w:rPr>
                            </w:pPr>
                            <w:r w:rsidRPr="007926F5">
                              <w:rPr>
                                <w:sz w:val="16"/>
                              </w:rPr>
                              <w:t>€</w:t>
                            </w:r>
                            <w:r>
                              <w:rPr>
                                <w:sz w:val="16"/>
                              </w:rPr>
                              <w:t xml:space="preserve"> </w:t>
                            </w:r>
                            <w:r w:rsidRPr="007926F5">
                              <w:rPr>
                                <w:sz w:val="16"/>
                              </w:rPr>
                              <w:t>1</w:t>
                            </w:r>
                            <w:r>
                              <w:rPr>
                                <w:sz w:val="16"/>
                              </w:rPr>
                              <w:t>,</w:t>
                            </w:r>
                            <w:r w:rsidRPr="007926F5">
                              <w:rPr>
                                <w:sz w:val="16"/>
                              </w:rPr>
                              <w:t>348</w:t>
                            </w:r>
                            <w:r>
                              <w:rPr>
                                <w:sz w:val="16"/>
                              </w:rPr>
                              <w:t>,</w:t>
                            </w:r>
                            <w:r w:rsidRPr="007926F5">
                              <w:rPr>
                                <w:sz w:val="16"/>
                              </w:rPr>
                              <w:t>617</w:t>
                            </w:r>
                          </w:p>
                        </w:tc>
                      </w:tr>
                    </w:tbl>
                    <w:p w14:paraId="1891D986" w14:textId="77777777" w:rsidR="00A87AB3" w:rsidRDefault="00A87AB3"/>
                  </w:txbxContent>
                </v:textbox>
                <w10:wrap type="square"/>
              </v:shape>
            </w:pict>
          </mc:Fallback>
        </mc:AlternateContent>
      </w:r>
      <w:r w:rsidR="00CA07FE" w:rsidRPr="009B7F14">
        <w:t xml:space="preserve">At programme level the contribution </w:t>
      </w:r>
      <w:r w:rsidR="00D43C4B" w:rsidRPr="009B7F14">
        <w:t xml:space="preserve">from the Financial Mechanisms 2014-2021 </w:t>
      </w:r>
      <w:r w:rsidR="00697775">
        <w:t>shall not exceed 85</w:t>
      </w:r>
      <w:r w:rsidR="00CA07FE" w:rsidRPr="009B7F14">
        <w:t>% of the eligible expenditure of the programme with so</w:t>
      </w:r>
      <w:r w:rsidR="004C38E2" w:rsidRPr="009B7F14">
        <w:t xml:space="preserve">me exceptions as stated in </w:t>
      </w:r>
      <w:r w:rsidR="00E57E7E" w:rsidRPr="009B7F14">
        <w:t xml:space="preserve">Reg. </w:t>
      </w:r>
      <w:r w:rsidR="004C38E2" w:rsidRPr="009B7F14">
        <w:t>Art. 6</w:t>
      </w:r>
      <w:r w:rsidR="00CA07FE" w:rsidRPr="009B7F14">
        <w:t>.4.1</w:t>
      </w:r>
      <w:r w:rsidR="003E541E" w:rsidRPr="009B7F14">
        <w:rPr>
          <w:rStyle w:val="FootnoteReference"/>
        </w:rPr>
        <w:footnoteReference w:id="2"/>
      </w:r>
      <w:r w:rsidR="003E541E" w:rsidRPr="009B7F14">
        <w:t>.</w:t>
      </w:r>
      <w:r w:rsidR="009916FE" w:rsidRPr="009B7F14">
        <w:t xml:space="preserve"> </w:t>
      </w:r>
      <w:r w:rsidR="00CA07FE" w:rsidRPr="009B7F14">
        <w:t>The FMO will disburse the grant part of the proposed expenditure, unless expenditure proposed by the PO is considered unjustified.</w:t>
      </w:r>
      <w:r w:rsidR="00CA07FE" w:rsidRPr="009B7F14">
        <w:rPr>
          <w:rStyle w:val="FootnoteReference"/>
        </w:rPr>
        <w:footnoteReference w:id="3"/>
      </w:r>
      <w:r w:rsidR="00CA07FE" w:rsidRPr="009B7F14">
        <w:t xml:space="preserve"> Payments to programmes </w:t>
      </w:r>
      <w:r w:rsidR="00FB26B8" w:rsidRPr="009B7F14">
        <w:t>will</w:t>
      </w:r>
      <w:r w:rsidR="00CA07FE" w:rsidRPr="009B7F14">
        <w:t xml:space="preserve"> be calculated by applying the grant rate</w:t>
      </w:r>
      <w:r w:rsidR="008A10BD" w:rsidRPr="009B7F14">
        <w:t>s</w:t>
      </w:r>
      <w:r w:rsidR="00CA07FE" w:rsidRPr="009B7F14">
        <w:t xml:space="preserve"> </w:t>
      </w:r>
      <w:r w:rsidR="00FB26B8" w:rsidRPr="009B7F14">
        <w:t xml:space="preserve">set at budget </w:t>
      </w:r>
      <w:r w:rsidR="003F3000">
        <w:t>heading</w:t>
      </w:r>
      <w:r w:rsidR="00FB26B8" w:rsidRPr="009B7F14">
        <w:t xml:space="preserve"> level (in accordance with the PA)</w:t>
      </w:r>
      <w:r w:rsidR="00CA07FE" w:rsidRPr="009B7F14">
        <w:t>. The principle of pro rata financing shall apply, meaning that the payments of the programme grant from the FMO shall be matched within one month by payment from the entity or entities responsible for providing the co-financing.</w:t>
      </w:r>
    </w:p>
    <w:p w14:paraId="5281F76D" w14:textId="77777777" w:rsidR="00CA07FE" w:rsidRPr="009B7F14" w:rsidRDefault="00CA07FE" w:rsidP="00215E2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noProof/>
          <w:color w:val="1F4E79" w:themeColor="accent1" w:themeShade="80"/>
        </w:rPr>
      </w:pPr>
      <w:r w:rsidRPr="009B7F14">
        <w:rPr>
          <w:noProof/>
          <w:color w:val="1F4E79" w:themeColor="accent1" w:themeShade="80"/>
        </w:rPr>
        <w:t>Programme Grant Rate =  Programme Grant / Progr</w:t>
      </w:r>
      <w:r w:rsidR="001260E7" w:rsidRPr="009B7F14">
        <w:rPr>
          <w:noProof/>
          <w:color w:val="1F4E79" w:themeColor="accent1" w:themeShade="80"/>
        </w:rPr>
        <w:t>amme Eligible Expenditure</w:t>
      </w:r>
    </w:p>
    <w:p w14:paraId="5EFDF8AC" w14:textId="77777777" w:rsidR="00CA07FE" w:rsidRPr="009B7F14" w:rsidRDefault="00CA07FE" w:rsidP="00920571">
      <w:pPr>
        <w:pStyle w:val="Heading3"/>
      </w:pPr>
      <w:r w:rsidRPr="009B7F14">
        <w:t>Project Level</w:t>
      </w:r>
    </w:p>
    <w:p w14:paraId="5039C3C9" w14:textId="77777777" w:rsidR="00CA07FE" w:rsidRPr="009B7F14" w:rsidRDefault="00CA07FE" w:rsidP="00E74DEC">
      <w:pPr>
        <w:keepNext/>
        <w:keepLines/>
      </w:pPr>
      <w:r w:rsidRPr="009B7F14">
        <w:t>At project level the grant rate shall be calculated as a p</w:t>
      </w:r>
      <w:r w:rsidR="007926F5" w:rsidRPr="009B7F14">
        <w:t xml:space="preserve">ercentage of the total eligible </w:t>
      </w:r>
      <w:r w:rsidRPr="009B7F14">
        <w:t xml:space="preserve">expenditure of the project, as proposed in the </w:t>
      </w:r>
      <w:r w:rsidR="001260E7" w:rsidRPr="009B7F14">
        <w:t>c</w:t>
      </w:r>
      <w:r w:rsidRPr="009B7F14">
        <w:t xml:space="preserve">oncept </w:t>
      </w:r>
      <w:r w:rsidR="001260E7" w:rsidRPr="009B7F14">
        <w:t>n</w:t>
      </w:r>
      <w:r w:rsidRPr="009B7F14">
        <w:t xml:space="preserve">ote and determined in the </w:t>
      </w:r>
      <w:r w:rsidR="001260E7" w:rsidRPr="009B7F14">
        <w:t>PA</w:t>
      </w:r>
      <w:r w:rsidRPr="009B7F14">
        <w:t xml:space="preserve">. The PP shall receive reimbursements/pre-financing from the PO according to this rate.  </w:t>
      </w:r>
    </w:p>
    <w:p w14:paraId="5318E609" w14:textId="19EFC8B5" w:rsidR="00215E29" w:rsidRDefault="00215E29" w:rsidP="00215E29">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noProof/>
          <w:color w:val="1F4E79" w:themeColor="accent1" w:themeShade="80"/>
        </w:rPr>
      </w:pPr>
      <w:r w:rsidRPr="009B7F14">
        <w:rPr>
          <w:noProof/>
          <w:lang w:eastAsia="en-GB"/>
        </w:rPr>
        <mc:AlternateContent>
          <mc:Choice Requires="wps">
            <w:drawing>
              <wp:anchor distT="45720" distB="45720" distL="114300" distR="114300" simplePos="0" relativeHeight="251787264" behindDoc="0" locked="0" layoutInCell="1" allowOverlap="1" wp14:anchorId="43C3ED96" wp14:editId="0E03A209">
                <wp:simplePos x="0" y="0"/>
                <wp:positionH relativeFrom="margin">
                  <wp:posOffset>-7620</wp:posOffset>
                </wp:positionH>
                <wp:positionV relativeFrom="paragraph">
                  <wp:posOffset>337820</wp:posOffset>
                </wp:positionV>
                <wp:extent cx="5760720" cy="1470660"/>
                <wp:effectExtent l="0" t="0" r="11430" b="1524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470660"/>
                        </a:xfrm>
                        <a:prstGeom prst="rect">
                          <a:avLst/>
                        </a:prstGeom>
                        <a:solidFill>
                          <a:schemeClr val="bg1"/>
                        </a:solidFill>
                        <a:ln w="9525">
                          <a:solidFill>
                            <a:schemeClr val="tx1"/>
                          </a:solidFill>
                          <a:miter lim="800000"/>
                          <a:headEnd/>
                          <a:tailEnd/>
                        </a:ln>
                      </wps:spPr>
                      <wps:txbx>
                        <w:txbxContent>
                          <w:p w14:paraId="56922155" w14:textId="77777777" w:rsidR="00A87AB3" w:rsidRPr="009568B2" w:rsidRDefault="00A87AB3" w:rsidP="00215E29">
                            <w:pPr>
                              <w:jc w:val="left"/>
                              <w:rPr>
                                <w:sz w:val="18"/>
                                <w:szCs w:val="18"/>
                              </w:rPr>
                            </w:pPr>
                            <w:r w:rsidRPr="009568B2">
                              <w:rPr>
                                <w:b/>
                                <w:iCs/>
                                <w:sz w:val="18"/>
                                <w:szCs w:val="18"/>
                              </w:rPr>
                              <w:t>Example:</w:t>
                            </w:r>
                            <w:r w:rsidRPr="009568B2">
                              <w:rPr>
                                <w:iCs/>
                                <w:sz w:val="18"/>
                                <w:szCs w:val="18"/>
                              </w:rPr>
                              <w:t xml:space="preserve"> </w:t>
                            </w:r>
                            <w:r w:rsidRPr="009568B2">
                              <w:rPr>
                                <w:sz w:val="18"/>
                                <w:szCs w:val="18"/>
                              </w:rPr>
                              <w:t>Project grant rate</w:t>
                            </w:r>
                          </w:p>
                          <w:p w14:paraId="3F15937E" w14:textId="62AE0DA1" w:rsidR="00A87AB3" w:rsidRPr="009568B2" w:rsidRDefault="00A87AB3" w:rsidP="00215E29">
                            <w:pPr>
                              <w:jc w:val="left"/>
                              <w:rPr>
                                <w:sz w:val="18"/>
                                <w:szCs w:val="18"/>
                              </w:rPr>
                            </w:pPr>
                            <w:r w:rsidRPr="009568B2">
                              <w:rPr>
                                <w:sz w:val="18"/>
                                <w:szCs w:val="18"/>
                              </w:rPr>
                              <w:t>Under the calls for proposals under Measures 1 to 3 (Normal Grant Scheme/call for proposals) grants from the programme will not exceed, as a proportion of the total eligible project expenditures:</w:t>
                            </w:r>
                            <w:r w:rsidRPr="009568B2">
                              <w:rPr>
                                <w:sz w:val="18"/>
                                <w:szCs w:val="18"/>
                              </w:rPr>
                              <w:br/>
                              <w:t>        - 100% in the case of PPs that are central government bodies;</w:t>
                            </w:r>
                            <w:r w:rsidRPr="009568B2">
                              <w:rPr>
                                <w:sz w:val="18"/>
                                <w:szCs w:val="18"/>
                              </w:rPr>
                              <w:br/>
                              <w:t xml:space="preserve">        - 90% in the case of PPs that are NGOs (Reg. Art. 1.5.1 (m)) </w:t>
                            </w:r>
                            <w:r w:rsidRPr="009568B2">
                              <w:rPr>
                                <w:sz w:val="18"/>
                                <w:szCs w:val="18"/>
                              </w:rPr>
                              <w:br/>
                            </w:r>
                            <w:r w:rsidRPr="009568B2">
                              <w:rPr>
                                <w:sz w:val="18"/>
                                <w:szCs w:val="18"/>
                              </w:rPr>
                              <w:br/>
                              <w:t>Under the Small Grants Scheme the grant rate at project level will not exceed 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C3ED96" id="_x0000_s1029" type="#_x0000_t202" style="position:absolute;left:0;text-align:left;margin-left:-.6pt;margin-top:26.6pt;width:453.6pt;height:115.8pt;z-index:251787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" fillcolor="white [3212]" strokecolor="black [3213]">
                <v:textbox>
                  <w:txbxContent>
                    <w:p w14:paraId="56922155" w14:textId="77777777" w:rsidR="00A87AB3" w:rsidRPr="009568B2" w:rsidRDefault="00A87AB3" w:rsidP="00215E29">
                      <w:pPr>
                        <w:jc w:val="left"/>
                        <w:rPr>
                          <w:sz w:val="18"/>
                          <w:szCs w:val="18"/>
                        </w:rPr>
                      </w:pPr>
                      <w:r w:rsidRPr="009568B2">
                        <w:rPr>
                          <w:b/>
                          <w:iCs/>
                          <w:sz w:val="18"/>
                          <w:szCs w:val="18"/>
                        </w:rPr>
                        <w:t>Example:</w:t>
                      </w:r>
                      <w:r w:rsidRPr="009568B2">
                        <w:rPr>
                          <w:iCs/>
                          <w:sz w:val="18"/>
                          <w:szCs w:val="18"/>
                        </w:rPr>
                        <w:t xml:space="preserve"> </w:t>
                      </w:r>
                      <w:r w:rsidRPr="009568B2">
                        <w:rPr>
                          <w:sz w:val="18"/>
                          <w:szCs w:val="18"/>
                        </w:rPr>
                        <w:t>Project grant rate</w:t>
                      </w:r>
                    </w:p>
                    <w:p w14:paraId="3F15937E" w14:textId="62AE0DA1" w:rsidR="00A87AB3" w:rsidRPr="009568B2" w:rsidRDefault="00A87AB3" w:rsidP="00215E29">
                      <w:pPr>
                        <w:jc w:val="left"/>
                        <w:rPr>
                          <w:sz w:val="18"/>
                          <w:szCs w:val="18"/>
                        </w:rPr>
                      </w:pPr>
                      <w:r w:rsidRPr="009568B2">
                        <w:rPr>
                          <w:sz w:val="18"/>
                          <w:szCs w:val="18"/>
                        </w:rPr>
                        <w:t>Under the calls for proposals under Measures 1 to 3 (Normal Grant Scheme/call for proposals) grants from the programme will not exceed, as a proportion of the total eligible project expenditures:</w:t>
                      </w:r>
                      <w:r w:rsidRPr="009568B2">
                        <w:rPr>
                          <w:sz w:val="18"/>
                          <w:szCs w:val="18"/>
                        </w:rPr>
                        <w:br/>
                        <w:t>        - 100% in the case of PPs that are central government bodies;</w:t>
                      </w:r>
                      <w:r w:rsidRPr="009568B2">
                        <w:rPr>
                          <w:sz w:val="18"/>
                          <w:szCs w:val="18"/>
                        </w:rPr>
                        <w:br/>
                        <w:t xml:space="preserve">        - 90% in the case of PPs that are NGOs (Reg. Art. 1.5.1 (m)) </w:t>
                      </w:r>
                      <w:r w:rsidRPr="009568B2">
                        <w:rPr>
                          <w:sz w:val="18"/>
                          <w:szCs w:val="18"/>
                        </w:rPr>
                        <w:br/>
                      </w:r>
                      <w:r w:rsidRPr="009568B2">
                        <w:rPr>
                          <w:sz w:val="18"/>
                          <w:szCs w:val="18"/>
                        </w:rPr>
                        <w:br/>
                        <w:t>Under the Small Grants Scheme the grant rate at project level will not exceed 90%.</w:t>
                      </w:r>
                    </w:p>
                  </w:txbxContent>
                </v:textbox>
                <w10:wrap type="square" anchorx="margin"/>
              </v:shape>
            </w:pict>
          </mc:Fallback>
        </mc:AlternateContent>
      </w:r>
      <w:r w:rsidR="00B14327" w:rsidRPr="009B7F14">
        <w:rPr>
          <w:noProof/>
          <w:color w:val="1F4E79" w:themeColor="accent1" w:themeShade="80"/>
        </w:rPr>
        <w:t>Project Grant Rate = Project Grant / Project Eligible Expenditure</w:t>
      </w:r>
    </w:p>
    <w:p w14:paraId="4460F48A" w14:textId="1CD1066A" w:rsidR="00215E29" w:rsidRPr="00215E29" w:rsidRDefault="00215E29" w:rsidP="00215E29"/>
    <w:p w14:paraId="7D3DD64F" w14:textId="77777777" w:rsidR="00CA07FE" w:rsidRPr="009B7F14" w:rsidRDefault="00B14327" w:rsidP="00D1414E">
      <w:pPr>
        <w:rPr>
          <w:noProof/>
          <w:color w:val="1F4E79" w:themeColor="accent1" w:themeShade="80"/>
        </w:rPr>
      </w:pPr>
      <w:r w:rsidRPr="009B7F14">
        <w:rPr>
          <w:noProof/>
          <w:lang w:eastAsia="en-GB"/>
        </w:rPr>
        <mc:AlternateContent>
          <mc:Choice Requires="wps">
            <w:drawing>
              <wp:anchor distT="45720" distB="45720" distL="114300" distR="114300" simplePos="0" relativeHeight="251688960" behindDoc="0" locked="0" layoutInCell="1" allowOverlap="1" wp14:anchorId="31CE6431" wp14:editId="1A05C21F">
                <wp:simplePos x="0" y="0"/>
                <wp:positionH relativeFrom="margin">
                  <wp:posOffset>-60960</wp:posOffset>
                </wp:positionH>
                <wp:positionV relativeFrom="paragraph">
                  <wp:posOffset>1068070</wp:posOffset>
                </wp:positionV>
                <wp:extent cx="5935980" cy="1569720"/>
                <wp:effectExtent l="0" t="0" r="26670" b="1143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1569720"/>
                        </a:xfrm>
                        <a:prstGeom prst="rect">
                          <a:avLst/>
                        </a:prstGeom>
                        <a:solidFill>
                          <a:srgbClr val="FFFFFF"/>
                        </a:solidFill>
                        <a:ln w="9525">
                          <a:solidFill>
                            <a:srgbClr val="000000"/>
                          </a:solidFill>
                          <a:miter lim="800000"/>
                          <a:headEnd/>
                          <a:tailEnd/>
                        </a:ln>
                      </wps:spPr>
                      <wps:txbx>
                        <w:txbxContent>
                          <w:p w14:paraId="31BD20B5" w14:textId="77777777" w:rsidR="00A87AB3" w:rsidRPr="00ED13FE" w:rsidRDefault="00A87AB3" w:rsidP="00E12D1B">
                            <w:pPr>
                              <w:rPr>
                                <w:b/>
                                <w:sz w:val="18"/>
                              </w:rPr>
                            </w:pPr>
                            <w:r w:rsidRPr="00ED13FE">
                              <w:rPr>
                                <w:b/>
                                <w:sz w:val="18"/>
                              </w:rPr>
                              <w:t xml:space="preserve">Example: </w:t>
                            </w:r>
                          </w:p>
                          <w:p w14:paraId="2C4443A7" w14:textId="5C254174" w:rsidR="00A87AB3" w:rsidRPr="009568B2" w:rsidRDefault="00A87AB3" w:rsidP="00042694">
                            <w:pPr>
                              <w:rPr>
                                <w:rFonts w:ascii="Calibri" w:hAnsi="Calibri"/>
                                <w:iCs/>
                                <w:sz w:val="18"/>
                                <w:szCs w:val="18"/>
                                <w:lang w:eastAsia="en-GB"/>
                              </w:rPr>
                            </w:pPr>
                            <w:r w:rsidRPr="009568B2">
                              <w:rPr>
                                <w:iCs/>
                                <w:sz w:val="18"/>
                                <w:szCs w:val="18"/>
                                <w:lang w:eastAsia="en-GB"/>
                              </w:rPr>
                              <w:t xml:space="preserve">There might be 4-5 entities involved in one project as project partners, with one entity submitting the application and ultimately becoming the </w:t>
                            </w:r>
                            <w:r>
                              <w:rPr>
                                <w:iCs/>
                                <w:sz w:val="18"/>
                                <w:szCs w:val="18"/>
                                <w:lang w:eastAsia="en-GB"/>
                              </w:rPr>
                              <w:t>Project Promoter</w:t>
                            </w:r>
                            <w:r w:rsidRPr="009568B2">
                              <w:rPr>
                                <w:iCs/>
                                <w:sz w:val="18"/>
                                <w:szCs w:val="18"/>
                                <w:lang w:eastAsia="en-GB"/>
                              </w:rPr>
                              <w:t xml:space="preserve">. It is possible that the </w:t>
                            </w:r>
                            <w:r>
                              <w:rPr>
                                <w:iCs/>
                                <w:sz w:val="18"/>
                                <w:szCs w:val="18"/>
                                <w:lang w:eastAsia="en-GB"/>
                              </w:rPr>
                              <w:t>Project P</w:t>
                            </w:r>
                            <w:r w:rsidRPr="009568B2">
                              <w:rPr>
                                <w:iCs/>
                                <w:sz w:val="18"/>
                                <w:szCs w:val="18"/>
                                <w:lang w:eastAsia="en-GB"/>
                              </w:rPr>
                              <w:t>romoter provides the necessary co-financing for the whole project, whilst the others receive 100% of their eligible expenditures in the form of grant.</w:t>
                            </w:r>
                          </w:p>
                          <w:p w14:paraId="3F9C7B9F" w14:textId="2D80AB22" w:rsidR="00A87AB3" w:rsidRPr="009568B2" w:rsidRDefault="00A87AB3" w:rsidP="00E12D1B">
                            <w:pPr>
                              <w:rPr>
                                <w:iCs/>
                                <w:sz w:val="18"/>
                                <w:szCs w:val="18"/>
                              </w:rPr>
                            </w:pPr>
                            <w:r w:rsidRPr="009568B2">
                              <w:rPr>
                                <w:iCs/>
                                <w:sz w:val="18"/>
                                <w:szCs w:val="18"/>
                              </w:rPr>
                              <w:t xml:space="preserve">As long as the </w:t>
                            </w:r>
                            <w:r>
                              <w:rPr>
                                <w:iCs/>
                                <w:sz w:val="18"/>
                                <w:szCs w:val="18"/>
                              </w:rPr>
                              <w:t>P</w:t>
                            </w:r>
                            <w:r w:rsidRPr="009568B2">
                              <w:rPr>
                                <w:iCs/>
                                <w:sz w:val="18"/>
                                <w:szCs w:val="18"/>
                              </w:rPr>
                              <w:t xml:space="preserve">roject </w:t>
                            </w:r>
                            <w:r>
                              <w:rPr>
                                <w:iCs/>
                                <w:sz w:val="18"/>
                                <w:szCs w:val="18"/>
                              </w:rPr>
                              <w:t>P</w:t>
                            </w:r>
                            <w:r w:rsidRPr="009568B2">
                              <w:rPr>
                                <w:iCs/>
                                <w:sz w:val="18"/>
                                <w:szCs w:val="18"/>
                              </w:rPr>
                              <w:t>romoter provides the necessary co-financing, no other partner needs to supplement, including a NGO or a donor project partner. This should however always be agreed between the partners and specified in the partnership agreement.</w:t>
                            </w:r>
                          </w:p>
                          <w:p w14:paraId="713F619E" w14:textId="77777777" w:rsidR="00A87AB3" w:rsidRPr="00ED13FE" w:rsidRDefault="00A87AB3">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E6431" id="_x0000_s1030" type="#_x0000_t202" style="position:absolute;left:0;text-align:left;margin-left:-4.8pt;margin-top:84.1pt;width:467.4pt;height:123.6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">
                <v:textbox>
                  <w:txbxContent>
                    <w:p w14:paraId="31BD20B5" w14:textId="77777777" w:rsidR="00A87AB3" w:rsidRPr="00ED13FE" w:rsidRDefault="00A87AB3" w:rsidP="00E12D1B">
                      <w:pPr>
                        <w:rPr>
                          <w:b/>
                          <w:sz w:val="18"/>
                        </w:rPr>
                      </w:pPr>
                      <w:r w:rsidRPr="00ED13FE">
                        <w:rPr>
                          <w:b/>
                          <w:sz w:val="18"/>
                        </w:rPr>
                        <w:t xml:space="preserve">Example: </w:t>
                      </w:r>
                    </w:p>
                    <w:p w14:paraId="2C4443A7" w14:textId="5C254174" w:rsidR="00A87AB3" w:rsidRPr="009568B2" w:rsidRDefault="00A87AB3" w:rsidP="00042694">
                      <w:pPr>
                        <w:rPr>
                          <w:rFonts w:ascii="Calibri" w:hAnsi="Calibri"/>
                          <w:iCs/>
                          <w:sz w:val="18"/>
                          <w:szCs w:val="18"/>
                          <w:lang w:eastAsia="en-GB"/>
                        </w:rPr>
                      </w:pPr>
                      <w:r w:rsidRPr="009568B2">
                        <w:rPr>
                          <w:iCs/>
                          <w:sz w:val="18"/>
                          <w:szCs w:val="18"/>
                          <w:lang w:eastAsia="en-GB"/>
                        </w:rPr>
                        <w:t xml:space="preserve">There might be 4-5 entities involved in one project as project partners, with one entity submitting the application and ultimately becoming the </w:t>
                      </w:r>
                      <w:r>
                        <w:rPr>
                          <w:iCs/>
                          <w:sz w:val="18"/>
                          <w:szCs w:val="18"/>
                          <w:lang w:eastAsia="en-GB"/>
                        </w:rPr>
                        <w:t>Project Promoter</w:t>
                      </w:r>
                      <w:r w:rsidRPr="009568B2">
                        <w:rPr>
                          <w:iCs/>
                          <w:sz w:val="18"/>
                          <w:szCs w:val="18"/>
                          <w:lang w:eastAsia="en-GB"/>
                        </w:rPr>
                        <w:t xml:space="preserve">. It is possible that the </w:t>
                      </w:r>
                      <w:r>
                        <w:rPr>
                          <w:iCs/>
                          <w:sz w:val="18"/>
                          <w:szCs w:val="18"/>
                          <w:lang w:eastAsia="en-GB"/>
                        </w:rPr>
                        <w:t>Project P</w:t>
                      </w:r>
                      <w:r w:rsidRPr="009568B2">
                        <w:rPr>
                          <w:iCs/>
                          <w:sz w:val="18"/>
                          <w:szCs w:val="18"/>
                          <w:lang w:eastAsia="en-GB"/>
                        </w:rPr>
                        <w:t>romoter provides the necessary co-financing for the whole project, whilst the others receive 100% of their eligible expenditures in the form of grant.</w:t>
                      </w:r>
                    </w:p>
                    <w:p w14:paraId="3F9C7B9F" w14:textId="2D80AB22" w:rsidR="00A87AB3" w:rsidRPr="009568B2" w:rsidRDefault="00A87AB3" w:rsidP="00E12D1B">
                      <w:pPr>
                        <w:rPr>
                          <w:iCs/>
                          <w:sz w:val="18"/>
                          <w:szCs w:val="18"/>
                        </w:rPr>
                      </w:pPr>
                      <w:r w:rsidRPr="009568B2">
                        <w:rPr>
                          <w:iCs/>
                          <w:sz w:val="18"/>
                          <w:szCs w:val="18"/>
                        </w:rPr>
                        <w:t xml:space="preserve">As long as the </w:t>
                      </w:r>
                      <w:r>
                        <w:rPr>
                          <w:iCs/>
                          <w:sz w:val="18"/>
                          <w:szCs w:val="18"/>
                        </w:rPr>
                        <w:t>P</w:t>
                      </w:r>
                      <w:r w:rsidRPr="009568B2">
                        <w:rPr>
                          <w:iCs/>
                          <w:sz w:val="18"/>
                          <w:szCs w:val="18"/>
                        </w:rPr>
                        <w:t xml:space="preserve">roject </w:t>
                      </w:r>
                      <w:r>
                        <w:rPr>
                          <w:iCs/>
                          <w:sz w:val="18"/>
                          <w:szCs w:val="18"/>
                        </w:rPr>
                        <w:t>P</w:t>
                      </w:r>
                      <w:r w:rsidRPr="009568B2">
                        <w:rPr>
                          <w:iCs/>
                          <w:sz w:val="18"/>
                          <w:szCs w:val="18"/>
                        </w:rPr>
                        <w:t>romoter provides the necessary co-financing, no other partner needs to supplement, including a NGO or a donor project partner. This should however always be agreed between the partners and specified in the partnership agreement.</w:t>
                      </w:r>
                    </w:p>
                    <w:p w14:paraId="713F619E" w14:textId="77777777" w:rsidR="00A87AB3" w:rsidRPr="00ED13FE" w:rsidRDefault="00A87AB3">
                      <w:pPr>
                        <w:rPr>
                          <w:sz w:val="18"/>
                        </w:rPr>
                      </w:pPr>
                    </w:p>
                  </w:txbxContent>
                </v:textbox>
                <w10:wrap type="square" anchorx="margin"/>
              </v:shape>
            </w:pict>
          </mc:Fallback>
        </mc:AlternateContent>
      </w:r>
      <w:r w:rsidR="00CA07FE" w:rsidRPr="009B7F14">
        <w:t xml:space="preserve">The grant rate at project level does not automatically apply to </w:t>
      </w:r>
      <w:r w:rsidR="001260E7" w:rsidRPr="009B7F14">
        <w:t>all</w:t>
      </w:r>
      <w:r w:rsidR="00CA07FE" w:rsidRPr="009B7F14">
        <w:t xml:space="preserve"> partners within the project. </w:t>
      </w:r>
      <w:r w:rsidR="00F462C2" w:rsidRPr="009B7F14">
        <w:t xml:space="preserve">The project grant rate is based on the nature of the </w:t>
      </w:r>
      <w:r w:rsidR="009E4023" w:rsidRPr="009B7F14">
        <w:t>PP</w:t>
      </w:r>
      <w:r w:rsidR="00F462C2" w:rsidRPr="009B7F14">
        <w:t>,</w:t>
      </w:r>
      <w:r w:rsidR="003E541E" w:rsidRPr="009B7F14">
        <w:t xml:space="preserve"> and</w:t>
      </w:r>
      <w:r w:rsidR="00F462C2" w:rsidRPr="009B7F14">
        <w:t xml:space="preserve"> not </w:t>
      </w:r>
      <w:r w:rsidR="003735FC" w:rsidRPr="009B7F14">
        <w:t xml:space="preserve">of the </w:t>
      </w:r>
      <w:r w:rsidR="003E541E" w:rsidRPr="009B7F14">
        <w:t xml:space="preserve">project </w:t>
      </w:r>
      <w:r w:rsidR="00F462C2" w:rsidRPr="009B7F14">
        <w:t xml:space="preserve">partners. </w:t>
      </w:r>
      <w:r w:rsidR="00CA07FE" w:rsidRPr="009B7F14">
        <w:t xml:space="preserve">The relationship between the promoter and the partners should be </w:t>
      </w:r>
      <w:r w:rsidR="003735FC" w:rsidRPr="009B7F14">
        <w:t xml:space="preserve">agreed </w:t>
      </w:r>
      <w:r w:rsidR="00CA07FE" w:rsidRPr="009B7F14">
        <w:t>betwe</w:t>
      </w:r>
      <w:r w:rsidR="001260E7" w:rsidRPr="009B7F14">
        <w:t>en them</w:t>
      </w:r>
      <w:r w:rsidR="003E541E" w:rsidRPr="009B7F14">
        <w:t xml:space="preserve"> (Reg. Art. 7.7)</w:t>
      </w:r>
      <w:r w:rsidR="00CA07FE" w:rsidRPr="009B7F14">
        <w:t>. The Re</w:t>
      </w:r>
      <w:r w:rsidR="001260E7" w:rsidRPr="009B7F14">
        <w:t>gulations do not state</w:t>
      </w:r>
      <w:r w:rsidR="00CA07FE" w:rsidRPr="009B7F14">
        <w:t xml:space="preserve"> any specific obligations for co-financing by partners.</w:t>
      </w:r>
    </w:p>
    <w:p w14:paraId="26B36A67" w14:textId="77777777" w:rsidR="00BA5E95" w:rsidRPr="009B7F14" w:rsidRDefault="0047664C" w:rsidP="00920571">
      <w:pPr>
        <w:pStyle w:val="Heading3"/>
      </w:pPr>
      <w:r w:rsidRPr="009B7F14">
        <w:t>Income generated within projects</w:t>
      </w:r>
    </w:p>
    <w:p w14:paraId="4C05B9E0" w14:textId="77777777" w:rsidR="001A0AE4" w:rsidRPr="009B7F14" w:rsidRDefault="001A0AE4" w:rsidP="00BA5E95">
      <w:pPr>
        <w:rPr>
          <w:rFonts w:eastAsiaTheme="minorEastAsia"/>
          <w:b/>
          <w:bCs/>
          <w:i/>
          <w:iCs/>
          <w:color w:val="C45911" w:themeColor="accent2" w:themeShade="BF"/>
          <w:szCs w:val="20"/>
        </w:rPr>
      </w:pPr>
      <w:r w:rsidRPr="009B7F14">
        <w:t xml:space="preserve">When deciding on the grant rate of the project, the PO must take into account economic benefits that are expected to be generated in the course of the project as a result of receiving a financial contribution. The PO shall develop a methodology to calculate the expected economic benefits for the income generating projects. This methodology does not need to be reviewed by the FMO. </w:t>
      </w:r>
    </w:p>
    <w:p w14:paraId="12B892A8" w14:textId="10D86754" w:rsidR="00DA1D29" w:rsidRPr="009B7F14" w:rsidRDefault="006E4115" w:rsidP="001A0AE4">
      <w:pPr>
        <w:autoSpaceDE w:val="0"/>
        <w:autoSpaceDN w:val="0"/>
        <w:adjustRightInd w:val="0"/>
        <w:spacing w:after="0"/>
      </w:pPr>
      <w:r w:rsidRPr="009B7F14">
        <w:rPr>
          <w:noProof/>
          <w:lang w:eastAsia="en-GB"/>
        </w:rPr>
        <mc:AlternateContent>
          <mc:Choice Requires="wps">
            <w:drawing>
              <wp:anchor distT="45720" distB="45720" distL="114300" distR="114300" simplePos="0" relativeHeight="251724800" behindDoc="0" locked="0" layoutInCell="1" allowOverlap="1" wp14:anchorId="1EB8EB96" wp14:editId="56274A81">
                <wp:simplePos x="0" y="0"/>
                <wp:positionH relativeFrom="margin">
                  <wp:align>center</wp:align>
                </wp:positionH>
                <wp:positionV relativeFrom="paragraph">
                  <wp:posOffset>1300480</wp:posOffset>
                </wp:positionV>
                <wp:extent cx="5399405" cy="3152775"/>
                <wp:effectExtent l="0" t="0" r="1079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3152775"/>
                        </a:xfrm>
                        <a:prstGeom prst="rect">
                          <a:avLst/>
                        </a:prstGeom>
                        <a:solidFill>
                          <a:srgbClr val="FFFFFF"/>
                        </a:solidFill>
                        <a:ln w="9525">
                          <a:solidFill>
                            <a:srgbClr val="000000"/>
                          </a:solidFill>
                          <a:miter lim="800000"/>
                          <a:headEnd/>
                          <a:tailEnd/>
                        </a:ln>
                      </wps:spPr>
                      <wps:txbx>
                        <w:txbxContent>
                          <w:p w14:paraId="53412616" w14:textId="77777777" w:rsidR="00A87AB3" w:rsidRPr="00ED13FE" w:rsidRDefault="00A87AB3" w:rsidP="00A47C77">
                            <w:pPr>
                              <w:rPr>
                                <w:b/>
                                <w:sz w:val="18"/>
                              </w:rPr>
                            </w:pPr>
                            <w:r w:rsidRPr="00ED13FE">
                              <w:rPr>
                                <w:b/>
                                <w:sz w:val="18"/>
                              </w:rPr>
                              <w:t xml:space="preserve">Example: </w:t>
                            </w:r>
                          </w:p>
                          <w:p w14:paraId="055F0405" w14:textId="77777777" w:rsidR="00A87AB3" w:rsidRPr="00ED13FE" w:rsidRDefault="00A87AB3" w:rsidP="00A47C77">
                            <w:pPr>
                              <w:rPr>
                                <w:rFonts w:eastAsia="Times New Roman" w:cs="Arial"/>
                                <w:sz w:val="18"/>
                                <w:lang w:eastAsia="en-GB"/>
                              </w:rPr>
                            </w:pPr>
                            <w:r w:rsidRPr="00ED13FE">
                              <w:rPr>
                                <w:rFonts w:eastAsia="Times New Roman" w:cs="Arial"/>
                                <w:sz w:val="18"/>
                                <w:lang w:eastAsia="en-GB"/>
                              </w:rPr>
                              <w:t>After having renovated a cultural heritage site, the Project Promoter invites the public to an open day to show the results of the works done. Unforeseen in the budget, the Project Promoter decides to sell tickets to those interested in taking part in the open day, generating an unforeseen revenue. Some food and beverages are included in the ticket price. Furthermore, security guards and guides are hired to ensure security and disbursement of relevant information to the public. The Project Promoter has also paid for some publicity to attract people to the event.</w:t>
                            </w:r>
                          </w:p>
                          <w:p w14:paraId="2929E81E" w14:textId="77777777" w:rsidR="00A87AB3" w:rsidRPr="00ED13FE" w:rsidRDefault="00A87AB3" w:rsidP="00A47C77">
                            <w:pPr>
                              <w:rPr>
                                <w:rFonts w:eastAsia="Times New Roman" w:cs="Arial"/>
                                <w:sz w:val="18"/>
                                <w:lang w:eastAsia="en-GB"/>
                              </w:rPr>
                            </w:pPr>
                            <w:r w:rsidRPr="00ED13FE">
                              <w:rPr>
                                <w:rFonts w:eastAsia="Times New Roman" w:cs="Arial"/>
                                <w:sz w:val="18"/>
                                <w:lang w:eastAsia="en-GB"/>
                              </w:rPr>
                              <w:t>The economic benefits from this event can be calculated as shown below:</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1895"/>
                            </w:tblGrid>
                            <w:tr w:rsidR="00A87AB3" w:rsidRPr="00ED13FE" w14:paraId="2BC9CA4C" w14:textId="77777777" w:rsidTr="00A14CB9">
                              <w:trPr>
                                <w:trHeight w:val="322"/>
                              </w:trPr>
                              <w:tc>
                                <w:tcPr>
                                  <w:tcW w:w="3487" w:type="dxa"/>
                                </w:tcPr>
                                <w:p w14:paraId="47BA987F" w14:textId="77777777" w:rsidR="00A87AB3" w:rsidRPr="00ED13FE" w:rsidRDefault="00A87AB3" w:rsidP="00A47C77">
                                  <w:pPr>
                                    <w:rPr>
                                      <w:sz w:val="18"/>
                                    </w:rPr>
                                  </w:pPr>
                                  <w:r w:rsidRPr="00ED13FE">
                                    <w:rPr>
                                      <w:sz w:val="18"/>
                                    </w:rPr>
                                    <w:t>Revenue from ticket sales</w:t>
                                  </w:r>
                                </w:p>
                              </w:tc>
                              <w:tc>
                                <w:tcPr>
                                  <w:tcW w:w="1895" w:type="dxa"/>
                                </w:tcPr>
                                <w:p w14:paraId="5C79128E" w14:textId="6D33F4EA" w:rsidR="00A87AB3" w:rsidRPr="00ED13FE" w:rsidRDefault="00A87AB3" w:rsidP="00E01F2D">
                                  <w:pPr>
                                    <w:jc w:val="right"/>
                                    <w:rPr>
                                      <w:sz w:val="18"/>
                                    </w:rPr>
                                  </w:pPr>
                                  <w:r>
                                    <w:rPr>
                                      <w:sz w:val="18"/>
                                    </w:rPr>
                                    <w:t xml:space="preserve">€ </w:t>
                                  </w:r>
                                  <w:r w:rsidRPr="00ED13FE">
                                    <w:rPr>
                                      <w:sz w:val="18"/>
                                    </w:rPr>
                                    <w:t>1</w:t>
                                  </w:r>
                                  <w:r>
                                    <w:rPr>
                                      <w:sz w:val="18"/>
                                    </w:rPr>
                                    <w:t>,</w:t>
                                  </w:r>
                                  <w:r w:rsidRPr="00ED13FE">
                                    <w:rPr>
                                      <w:sz w:val="18"/>
                                    </w:rPr>
                                    <w:t>000</w:t>
                                  </w:r>
                                </w:p>
                              </w:tc>
                            </w:tr>
                            <w:tr w:rsidR="00A87AB3" w:rsidRPr="00ED13FE" w14:paraId="74B2D057" w14:textId="77777777" w:rsidTr="00A14CB9">
                              <w:trPr>
                                <w:trHeight w:val="241"/>
                              </w:trPr>
                              <w:tc>
                                <w:tcPr>
                                  <w:tcW w:w="3487" w:type="dxa"/>
                                </w:tcPr>
                                <w:p w14:paraId="776290FC" w14:textId="77777777" w:rsidR="00A87AB3" w:rsidRPr="00ED13FE" w:rsidRDefault="00A87AB3" w:rsidP="009F01EE">
                                  <w:pPr>
                                    <w:pStyle w:val="ListParagraph"/>
                                    <w:numPr>
                                      <w:ilvl w:val="0"/>
                                      <w:numId w:val="31"/>
                                    </w:numPr>
                                    <w:jc w:val="left"/>
                                    <w:rPr>
                                      <w:sz w:val="18"/>
                                    </w:rPr>
                                  </w:pPr>
                                  <w:r w:rsidRPr="00ED13FE">
                                    <w:rPr>
                                      <w:sz w:val="18"/>
                                    </w:rPr>
                                    <w:t>Food and beverage</w:t>
                                  </w:r>
                                </w:p>
                              </w:tc>
                              <w:tc>
                                <w:tcPr>
                                  <w:tcW w:w="1895" w:type="dxa"/>
                                </w:tcPr>
                                <w:p w14:paraId="1B610969" w14:textId="7D47B116" w:rsidR="00A87AB3" w:rsidRPr="00ED13FE" w:rsidRDefault="00A87AB3" w:rsidP="009F01EE">
                                  <w:pPr>
                                    <w:pStyle w:val="ListParagraph"/>
                                    <w:numPr>
                                      <w:ilvl w:val="0"/>
                                      <w:numId w:val="31"/>
                                    </w:numPr>
                                    <w:jc w:val="right"/>
                                    <w:rPr>
                                      <w:sz w:val="18"/>
                                    </w:rPr>
                                  </w:pPr>
                                  <w:r>
                                    <w:rPr>
                                      <w:sz w:val="18"/>
                                    </w:rPr>
                                    <w:t xml:space="preserve">€ </w:t>
                                  </w:r>
                                  <w:r w:rsidRPr="00ED13FE">
                                    <w:rPr>
                                      <w:sz w:val="18"/>
                                    </w:rPr>
                                    <w:t>200</w:t>
                                  </w:r>
                                </w:p>
                              </w:tc>
                            </w:tr>
                            <w:tr w:rsidR="00A87AB3" w:rsidRPr="00ED13FE" w14:paraId="521FE5BA" w14:textId="77777777" w:rsidTr="00A14CB9">
                              <w:trPr>
                                <w:trHeight w:val="231"/>
                              </w:trPr>
                              <w:tc>
                                <w:tcPr>
                                  <w:tcW w:w="3487" w:type="dxa"/>
                                </w:tcPr>
                                <w:p w14:paraId="0AEF9996" w14:textId="77777777" w:rsidR="00A87AB3" w:rsidRPr="00ED13FE" w:rsidRDefault="00A87AB3" w:rsidP="009F01EE">
                                  <w:pPr>
                                    <w:pStyle w:val="ListParagraph"/>
                                    <w:numPr>
                                      <w:ilvl w:val="0"/>
                                      <w:numId w:val="31"/>
                                    </w:numPr>
                                    <w:jc w:val="left"/>
                                    <w:rPr>
                                      <w:sz w:val="18"/>
                                    </w:rPr>
                                  </w:pPr>
                                  <w:r w:rsidRPr="00ED13FE">
                                    <w:rPr>
                                      <w:sz w:val="18"/>
                                    </w:rPr>
                                    <w:t>Staff</w:t>
                                  </w:r>
                                </w:p>
                              </w:tc>
                              <w:tc>
                                <w:tcPr>
                                  <w:tcW w:w="1895" w:type="dxa"/>
                                </w:tcPr>
                                <w:p w14:paraId="24E3CC43" w14:textId="42619167" w:rsidR="00A87AB3" w:rsidRPr="00ED13FE" w:rsidRDefault="00A87AB3" w:rsidP="009F01EE">
                                  <w:pPr>
                                    <w:pStyle w:val="ListParagraph"/>
                                    <w:numPr>
                                      <w:ilvl w:val="0"/>
                                      <w:numId w:val="31"/>
                                    </w:numPr>
                                    <w:jc w:val="right"/>
                                    <w:rPr>
                                      <w:sz w:val="18"/>
                                    </w:rPr>
                                  </w:pPr>
                                  <w:r>
                                    <w:rPr>
                                      <w:sz w:val="18"/>
                                    </w:rPr>
                                    <w:t xml:space="preserve">€ </w:t>
                                  </w:r>
                                  <w:r w:rsidRPr="00ED13FE">
                                    <w:rPr>
                                      <w:sz w:val="18"/>
                                    </w:rPr>
                                    <w:t>300</w:t>
                                  </w:r>
                                </w:p>
                              </w:tc>
                            </w:tr>
                            <w:tr w:rsidR="00A87AB3" w:rsidRPr="00ED13FE" w14:paraId="32A094EC" w14:textId="77777777" w:rsidTr="00A14CB9">
                              <w:trPr>
                                <w:trHeight w:val="241"/>
                              </w:trPr>
                              <w:tc>
                                <w:tcPr>
                                  <w:tcW w:w="3487" w:type="dxa"/>
                                </w:tcPr>
                                <w:p w14:paraId="2CBD0409" w14:textId="77777777" w:rsidR="00A87AB3" w:rsidRPr="00ED13FE" w:rsidRDefault="00A87AB3" w:rsidP="009F01EE">
                                  <w:pPr>
                                    <w:pStyle w:val="ListParagraph"/>
                                    <w:numPr>
                                      <w:ilvl w:val="0"/>
                                      <w:numId w:val="31"/>
                                    </w:numPr>
                                    <w:jc w:val="left"/>
                                    <w:rPr>
                                      <w:sz w:val="18"/>
                                    </w:rPr>
                                  </w:pPr>
                                  <w:r w:rsidRPr="00ED13FE">
                                    <w:rPr>
                                      <w:sz w:val="18"/>
                                    </w:rPr>
                                    <w:t>Publicity</w:t>
                                  </w:r>
                                </w:p>
                              </w:tc>
                              <w:tc>
                                <w:tcPr>
                                  <w:tcW w:w="1895" w:type="dxa"/>
                                </w:tcPr>
                                <w:p w14:paraId="6A50A396" w14:textId="3413F25D" w:rsidR="00A87AB3" w:rsidRPr="00ED13FE" w:rsidRDefault="00A87AB3" w:rsidP="009F01EE">
                                  <w:pPr>
                                    <w:pStyle w:val="ListParagraph"/>
                                    <w:numPr>
                                      <w:ilvl w:val="0"/>
                                      <w:numId w:val="31"/>
                                    </w:numPr>
                                    <w:jc w:val="right"/>
                                    <w:rPr>
                                      <w:sz w:val="18"/>
                                    </w:rPr>
                                  </w:pPr>
                                  <w:r>
                                    <w:rPr>
                                      <w:sz w:val="18"/>
                                    </w:rPr>
                                    <w:t xml:space="preserve">€ </w:t>
                                  </w:r>
                                  <w:r w:rsidRPr="00ED13FE">
                                    <w:rPr>
                                      <w:sz w:val="18"/>
                                    </w:rPr>
                                    <w:t>200</w:t>
                                  </w:r>
                                </w:p>
                              </w:tc>
                            </w:tr>
                            <w:tr w:rsidR="00A87AB3" w:rsidRPr="00ED13FE" w14:paraId="39617637" w14:textId="77777777" w:rsidTr="00A14CB9">
                              <w:trPr>
                                <w:trHeight w:val="322"/>
                              </w:trPr>
                              <w:tc>
                                <w:tcPr>
                                  <w:tcW w:w="3487" w:type="dxa"/>
                                </w:tcPr>
                                <w:p w14:paraId="557DFCFF" w14:textId="77777777" w:rsidR="00A87AB3" w:rsidRPr="00ED13FE" w:rsidRDefault="00A87AB3" w:rsidP="00A47C77">
                                  <w:pPr>
                                    <w:rPr>
                                      <w:sz w:val="18"/>
                                    </w:rPr>
                                  </w:pPr>
                                  <w:r w:rsidRPr="00ED13FE">
                                    <w:rPr>
                                      <w:sz w:val="18"/>
                                    </w:rPr>
                                    <w:t>= Economic benefits (profit)</w:t>
                                  </w:r>
                                </w:p>
                              </w:tc>
                              <w:tc>
                                <w:tcPr>
                                  <w:tcW w:w="1895" w:type="dxa"/>
                                </w:tcPr>
                                <w:p w14:paraId="5D5FA59E" w14:textId="7C459A5F" w:rsidR="00A87AB3" w:rsidRPr="00ED13FE" w:rsidRDefault="00A87AB3" w:rsidP="00E01F2D">
                                  <w:pPr>
                                    <w:jc w:val="right"/>
                                    <w:rPr>
                                      <w:sz w:val="18"/>
                                    </w:rPr>
                                  </w:pPr>
                                  <w:r>
                                    <w:rPr>
                                      <w:sz w:val="18"/>
                                    </w:rPr>
                                    <w:t xml:space="preserve">= € </w:t>
                                  </w:r>
                                  <w:r w:rsidRPr="00ED13FE">
                                    <w:rPr>
                                      <w:sz w:val="18"/>
                                    </w:rPr>
                                    <w:t>300</w:t>
                                  </w:r>
                                </w:p>
                              </w:tc>
                            </w:tr>
                          </w:tbl>
                          <w:p w14:paraId="6B00F152" w14:textId="77777777" w:rsidR="00A87AB3" w:rsidRPr="00ED13FE" w:rsidRDefault="00A87AB3" w:rsidP="00A47C77">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8EB96" id="_x0000_s1031" type="#_x0000_t202" style="position:absolute;left:0;text-align:left;margin-left:0;margin-top:102.4pt;width:425.15pt;height:248.25pt;z-index:251724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">
                <v:textbox>
                  <w:txbxContent>
                    <w:p w14:paraId="53412616" w14:textId="77777777" w:rsidR="00A87AB3" w:rsidRPr="00ED13FE" w:rsidRDefault="00A87AB3" w:rsidP="00A47C77">
                      <w:pPr>
                        <w:rPr>
                          <w:b/>
                          <w:sz w:val="18"/>
                        </w:rPr>
                      </w:pPr>
                      <w:r w:rsidRPr="00ED13FE">
                        <w:rPr>
                          <w:b/>
                          <w:sz w:val="18"/>
                        </w:rPr>
                        <w:t xml:space="preserve">Example: </w:t>
                      </w:r>
                    </w:p>
                    <w:p w14:paraId="055F0405" w14:textId="77777777" w:rsidR="00A87AB3" w:rsidRPr="00ED13FE" w:rsidRDefault="00A87AB3" w:rsidP="00A47C77">
                      <w:pPr>
                        <w:rPr>
                          <w:rFonts w:eastAsia="Times New Roman" w:cs="Arial"/>
                          <w:sz w:val="18"/>
                          <w:lang w:eastAsia="en-GB"/>
                        </w:rPr>
                      </w:pPr>
                      <w:r w:rsidRPr="00ED13FE">
                        <w:rPr>
                          <w:rFonts w:eastAsia="Times New Roman" w:cs="Arial"/>
                          <w:sz w:val="18"/>
                          <w:lang w:eastAsia="en-GB"/>
                        </w:rPr>
                        <w:t>After having renovated a cultural heritage site, the Project Promoter invites the public to an open day to show the results of the works done. Unforeseen in the budget, the Project Promoter decides to sell tickets to those interested in taking part in the open day, generating an unforeseen revenue. Some food and beverages are included in the ticket price. Furthermore, security guards and guides are hired to ensure security and disbursement of relevant information to the public. The Project Promoter has also paid for some publicity to attract people to the event.</w:t>
                      </w:r>
                    </w:p>
                    <w:p w14:paraId="2929E81E" w14:textId="77777777" w:rsidR="00A87AB3" w:rsidRPr="00ED13FE" w:rsidRDefault="00A87AB3" w:rsidP="00A47C77">
                      <w:pPr>
                        <w:rPr>
                          <w:rFonts w:eastAsia="Times New Roman" w:cs="Arial"/>
                          <w:sz w:val="18"/>
                          <w:lang w:eastAsia="en-GB"/>
                        </w:rPr>
                      </w:pPr>
                      <w:r w:rsidRPr="00ED13FE">
                        <w:rPr>
                          <w:rFonts w:eastAsia="Times New Roman" w:cs="Arial"/>
                          <w:sz w:val="18"/>
                          <w:lang w:eastAsia="en-GB"/>
                        </w:rPr>
                        <w:t>The economic benefits from this event can be calculated as shown below:</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1895"/>
                      </w:tblGrid>
                      <w:tr w:rsidR="00A87AB3" w:rsidRPr="00ED13FE" w14:paraId="2BC9CA4C" w14:textId="77777777" w:rsidTr="00A14CB9">
                        <w:trPr>
                          <w:trHeight w:val="322"/>
                        </w:trPr>
                        <w:tc>
                          <w:tcPr>
                            <w:tcW w:w="3487" w:type="dxa"/>
                          </w:tcPr>
                          <w:p w14:paraId="47BA987F" w14:textId="77777777" w:rsidR="00A87AB3" w:rsidRPr="00ED13FE" w:rsidRDefault="00A87AB3" w:rsidP="00A47C77">
                            <w:pPr>
                              <w:rPr>
                                <w:sz w:val="18"/>
                              </w:rPr>
                            </w:pPr>
                            <w:r w:rsidRPr="00ED13FE">
                              <w:rPr>
                                <w:sz w:val="18"/>
                              </w:rPr>
                              <w:t>Revenue from ticket sales</w:t>
                            </w:r>
                          </w:p>
                        </w:tc>
                        <w:tc>
                          <w:tcPr>
                            <w:tcW w:w="1895" w:type="dxa"/>
                          </w:tcPr>
                          <w:p w14:paraId="5C79128E" w14:textId="6D33F4EA" w:rsidR="00A87AB3" w:rsidRPr="00ED13FE" w:rsidRDefault="00A87AB3" w:rsidP="00E01F2D">
                            <w:pPr>
                              <w:jc w:val="right"/>
                              <w:rPr>
                                <w:sz w:val="18"/>
                              </w:rPr>
                            </w:pPr>
                            <w:r>
                              <w:rPr>
                                <w:sz w:val="18"/>
                              </w:rPr>
                              <w:t xml:space="preserve">€ </w:t>
                            </w:r>
                            <w:r w:rsidRPr="00ED13FE">
                              <w:rPr>
                                <w:sz w:val="18"/>
                              </w:rPr>
                              <w:t>1</w:t>
                            </w:r>
                            <w:r>
                              <w:rPr>
                                <w:sz w:val="18"/>
                              </w:rPr>
                              <w:t>,</w:t>
                            </w:r>
                            <w:r w:rsidRPr="00ED13FE">
                              <w:rPr>
                                <w:sz w:val="18"/>
                              </w:rPr>
                              <w:t>000</w:t>
                            </w:r>
                          </w:p>
                        </w:tc>
                      </w:tr>
                      <w:tr w:rsidR="00A87AB3" w:rsidRPr="00ED13FE" w14:paraId="74B2D057" w14:textId="77777777" w:rsidTr="00A14CB9">
                        <w:trPr>
                          <w:trHeight w:val="241"/>
                        </w:trPr>
                        <w:tc>
                          <w:tcPr>
                            <w:tcW w:w="3487" w:type="dxa"/>
                          </w:tcPr>
                          <w:p w14:paraId="776290FC" w14:textId="77777777" w:rsidR="00A87AB3" w:rsidRPr="00ED13FE" w:rsidRDefault="00A87AB3" w:rsidP="009F01EE">
                            <w:pPr>
                              <w:pStyle w:val="ListParagraph"/>
                              <w:numPr>
                                <w:ilvl w:val="0"/>
                                <w:numId w:val="31"/>
                              </w:numPr>
                              <w:jc w:val="left"/>
                              <w:rPr>
                                <w:sz w:val="18"/>
                              </w:rPr>
                            </w:pPr>
                            <w:r w:rsidRPr="00ED13FE">
                              <w:rPr>
                                <w:sz w:val="18"/>
                              </w:rPr>
                              <w:t>Food and beverage</w:t>
                            </w:r>
                          </w:p>
                        </w:tc>
                        <w:tc>
                          <w:tcPr>
                            <w:tcW w:w="1895" w:type="dxa"/>
                          </w:tcPr>
                          <w:p w14:paraId="1B610969" w14:textId="7D47B116" w:rsidR="00A87AB3" w:rsidRPr="00ED13FE" w:rsidRDefault="00A87AB3" w:rsidP="009F01EE">
                            <w:pPr>
                              <w:pStyle w:val="ListParagraph"/>
                              <w:numPr>
                                <w:ilvl w:val="0"/>
                                <w:numId w:val="31"/>
                              </w:numPr>
                              <w:jc w:val="right"/>
                              <w:rPr>
                                <w:sz w:val="18"/>
                              </w:rPr>
                            </w:pPr>
                            <w:r>
                              <w:rPr>
                                <w:sz w:val="18"/>
                              </w:rPr>
                              <w:t xml:space="preserve">€ </w:t>
                            </w:r>
                            <w:r w:rsidRPr="00ED13FE">
                              <w:rPr>
                                <w:sz w:val="18"/>
                              </w:rPr>
                              <w:t>200</w:t>
                            </w:r>
                          </w:p>
                        </w:tc>
                      </w:tr>
                      <w:tr w:rsidR="00A87AB3" w:rsidRPr="00ED13FE" w14:paraId="521FE5BA" w14:textId="77777777" w:rsidTr="00A14CB9">
                        <w:trPr>
                          <w:trHeight w:val="231"/>
                        </w:trPr>
                        <w:tc>
                          <w:tcPr>
                            <w:tcW w:w="3487" w:type="dxa"/>
                          </w:tcPr>
                          <w:p w14:paraId="0AEF9996" w14:textId="77777777" w:rsidR="00A87AB3" w:rsidRPr="00ED13FE" w:rsidRDefault="00A87AB3" w:rsidP="009F01EE">
                            <w:pPr>
                              <w:pStyle w:val="ListParagraph"/>
                              <w:numPr>
                                <w:ilvl w:val="0"/>
                                <w:numId w:val="31"/>
                              </w:numPr>
                              <w:jc w:val="left"/>
                              <w:rPr>
                                <w:sz w:val="18"/>
                              </w:rPr>
                            </w:pPr>
                            <w:r w:rsidRPr="00ED13FE">
                              <w:rPr>
                                <w:sz w:val="18"/>
                              </w:rPr>
                              <w:t>Staff</w:t>
                            </w:r>
                          </w:p>
                        </w:tc>
                        <w:tc>
                          <w:tcPr>
                            <w:tcW w:w="1895" w:type="dxa"/>
                          </w:tcPr>
                          <w:p w14:paraId="24E3CC43" w14:textId="42619167" w:rsidR="00A87AB3" w:rsidRPr="00ED13FE" w:rsidRDefault="00A87AB3" w:rsidP="009F01EE">
                            <w:pPr>
                              <w:pStyle w:val="ListParagraph"/>
                              <w:numPr>
                                <w:ilvl w:val="0"/>
                                <w:numId w:val="31"/>
                              </w:numPr>
                              <w:jc w:val="right"/>
                              <w:rPr>
                                <w:sz w:val="18"/>
                              </w:rPr>
                            </w:pPr>
                            <w:r>
                              <w:rPr>
                                <w:sz w:val="18"/>
                              </w:rPr>
                              <w:t xml:space="preserve">€ </w:t>
                            </w:r>
                            <w:r w:rsidRPr="00ED13FE">
                              <w:rPr>
                                <w:sz w:val="18"/>
                              </w:rPr>
                              <w:t>300</w:t>
                            </w:r>
                          </w:p>
                        </w:tc>
                      </w:tr>
                      <w:tr w:rsidR="00A87AB3" w:rsidRPr="00ED13FE" w14:paraId="32A094EC" w14:textId="77777777" w:rsidTr="00A14CB9">
                        <w:trPr>
                          <w:trHeight w:val="241"/>
                        </w:trPr>
                        <w:tc>
                          <w:tcPr>
                            <w:tcW w:w="3487" w:type="dxa"/>
                          </w:tcPr>
                          <w:p w14:paraId="2CBD0409" w14:textId="77777777" w:rsidR="00A87AB3" w:rsidRPr="00ED13FE" w:rsidRDefault="00A87AB3" w:rsidP="009F01EE">
                            <w:pPr>
                              <w:pStyle w:val="ListParagraph"/>
                              <w:numPr>
                                <w:ilvl w:val="0"/>
                                <w:numId w:val="31"/>
                              </w:numPr>
                              <w:jc w:val="left"/>
                              <w:rPr>
                                <w:sz w:val="18"/>
                              </w:rPr>
                            </w:pPr>
                            <w:r w:rsidRPr="00ED13FE">
                              <w:rPr>
                                <w:sz w:val="18"/>
                              </w:rPr>
                              <w:t>Publicity</w:t>
                            </w:r>
                          </w:p>
                        </w:tc>
                        <w:tc>
                          <w:tcPr>
                            <w:tcW w:w="1895" w:type="dxa"/>
                          </w:tcPr>
                          <w:p w14:paraId="6A50A396" w14:textId="3413F25D" w:rsidR="00A87AB3" w:rsidRPr="00ED13FE" w:rsidRDefault="00A87AB3" w:rsidP="009F01EE">
                            <w:pPr>
                              <w:pStyle w:val="ListParagraph"/>
                              <w:numPr>
                                <w:ilvl w:val="0"/>
                                <w:numId w:val="31"/>
                              </w:numPr>
                              <w:jc w:val="right"/>
                              <w:rPr>
                                <w:sz w:val="18"/>
                              </w:rPr>
                            </w:pPr>
                            <w:r>
                              <w:rPr>
                                <w:sz w:val="18"/>
                              </w:rPr>
                              <w:t xml:space="preserve">€ </w:t>
                            </w:r>
                            <w:r w:rsidRPr="00ED13FE">
                              <w:rPr>
                                <w:sz w:val="18"/>
                              </w:rPr>
                              <w:t>200</w:t>
                            </w:r>
                          </w:p>
                        </w:tc>
                      </w:tr>
                      <w:tr w:rsidR="00A87AB3" w:rsidRPr="00ED13FE" w14:paraId="39617637" w14:textId="77777777" w:rsidTr="00A14CB9">
                        <w:trPr>
                          <w:trHeight w:val="322"/>
                        </w:trPr>
                        <w:tc>
                          <w:tcPr>
                            <w:tcW w:w="3487" w:type="dxa"/>
                          </w:tcPr>
                          <w:p w14:paraId="557DFCFF" w14:textId="77777777" w:rsidR="00A87AB3" w:rsidRPr="00ED13FE" w:rsidRDefault="00A87AB3" w:rsidP="00A47C77">
                            <w:pPr>
                              <w:rPr>
                                <w:sz w:val="18"/>
                              </w:rPr>
                            </w:pPr>
                            <w:r w:rsidRPr="00ED13FE">
                              <w:rPr>
                                <w:sz w:val="18"/>
                              </w:rPr>
                              <w:t>= Economic benefits (profit)</w:t>
                            </w:r>
                          </w:p>
                        </w:tc>
                        <w:tc>
                          <w:tcPr>
                            <w:tcW w:w="1895" w:type="dxa"/>
                          </w:tcPr>
                          <w:p w14:paraId="5D5FA59E" w14:textId="7C459A5F" w:rsidR="00A87AB3" w:rsidRPr="00ED13FE" w:rsidRDefault="00A87AB3" w:rsidP="00E01F2D">
                            <w:pPr>
                              <w:jc w:val="right"/>
                              <w:rPr>
                                <w:sz w:val="18"/>
                              </w:rPr>
                            </w:pPr>
                            <w:r>
                              <w:rPr>
                                <w:sz w:val="18"/>
                              </w:rPr>
                              <w:t xml:space="preserve">= € </w:t>
                            </w:r>
                            <w:r w:rsidRPr="00ED13FE">
                              <w:rPr>
                                <w:sz w:val="18"/>
                              </w:rPr>
                              <w:t>300</w:t>
                            </w:r>
                          </w:p>
                        </w:tc>
                      </w:tr>
                    </w:tbl>
                    <w:p w14:paraId="6B00F152" w14:textId="77777777" w:rsidR="00A87AB3" w:rsidRPr="00ED13FE" w:rsidRDefault="00A87AB3" w:rsidP="00A47C77">
                      <w:pPr>
                        <w:rPr>
                          <w:sz w:val="18"/>
                        </w:rPr>
                      </w:pPr>
                    </w:p>
                  </w:txbxContent>
                </v:textbox>
                <w10:wrap type="square" anchorx="margin"/>
              </v:shape>
            </w:pict>
          </mc:Fallback>
        </mc:AlternateContent>
      </w:r>
      <w:r w:rsidR="001A0AE4" w:rsidRPr="009B7F14">
        <w:t>The Certifying Authority (CA) /</w:t>
      </w:r>
      <w:r w:rsidR="00E256D3">
        <w:t>NFP</w:t>
      </w:r>
      <w:r w:rsidR="001A0AE4" w:rsidRPr="009B7F14">
        <w:t xml:space="preserve"> shall, within the overall requirement of Reg. Art. 6.4.2, decide how any unforeseen benefits (not taken into account when setting the project grant rate) are handled at project level. Unforeseen benefits should add value to the projects, contribute to their sustainability and must be used in a manner which supports the objectives of the project. Unforeseen benefits will not have an impact on the grant amount and cannot be used as project co-financing.</w:t>
      </w:r>
    </w:p>
    <w:p w14:paraId="4DDEE70F" w14:textId="70FE9965" w:rsidR="00DA7821" w:rsidRPr="009B7F14" w:rsidRDefault="00DA7821" w:rsidP="00920571">
      <w:pPr>
        <w:pStyle w:val="Heading2"/>
      </w:pPr>
      <w:bookmarkStart w:id="18" w:name="_Ref465347249"/>
      <w:bookmarkStart w:id="19" w:name="_Toc484174832"/>
      <w:r w:rsidRPr="009B7F14">
        <w:t>Techni</w:t>
      </w:r>
      <w:r w:rsidR="00C007AC" w:rsidRPr="009B7F14">
        <w:t xml:space="preserve">cal Assistance to the </w:t>
      </w:r>
      <w:r w:rsidR="00BF7F06" w:rsidRPr="009B7F14">
        <w:t>B</w:t>
      </w:r>
      <w:r w:rsidR="00C007AC" w:rsidRPr="009B7F14">
        <w:t xml:space="preserve">eneficiary </w:t>
      </w:r>
      <w:r w:rsidR="001032C0">
        <w:t>S</w:t>
      </w:r>
      <w:r w:rsidR="00C007AC" w:rsidRPr="009B7F14">
        <w:t>tate (</w:t>
      </w:r>
      <w:r w:rsidR="00CE1797" w:rsidRPr="009B7F14">
        <w:t xml:space="preserve">Reg. </w:t>
      </w:r>
      <w:r w:rsidR="00C007AC" w:rsidRPr="009B7F14">
        <w:t>Art. 8</w:t>
      </w:r>
      <w:r w:rsidRPr="009B7F14">
        <w:t>.1</w:t>
      </w:r>
      <w:r w:rsidR="00C007AC" w:rsidRPr="009B7F14">
        <w:t>1</w:t>
      </w:r>
      <w:r w:rsidRPr="009B7F14">
        <w:t>)</w:t>
      </w:r>
      <w:bookmarkEnd w:id="18"/>
      <w:bookmarkEnd w:id="19"/>
    </w:p>
    <w:p w14:paraId="7B5314D8" w14:textId="77777777" w:rsidR="00D30A3F" w:rsidRPr="009B7F14" w:rsidRDefault="00D30A3F" w:rsidP="00D30A3F">
      <w:r w:rsidRPr="009B7F14">
        <w:t>The NFP shall coordinate the use of the technical assistance (TA). The budget for the whole implementation period, including a detailed budget for the first calendar year shall be provided by the NFP to</w:t>
      </w:r>
      <w:r w:rsidR="00F85FFA" w:rsidRPr="009B7F14">
        <w:t xml:space="preserve"> the FMO as</w:t>
      </w:r>
      <w:r w:rsidRPr="009B7F14">
        <w:t xml:space="preserve"> soon as possi</w:t>
      </w:r>
      <w:r w:rsidR="00FD2E52" w:rsidRPr="009B7F14">
        <w:t>ble after the signing of the MoU.</w:t>
      </w:r>
    </w:p>
    <w:p w14:paraId="3D539FF9" w14:textId="3AAE9213" w:rsidR="00D30A3F" w:rsidRPr="009B7F14" w:rsidRDefault="00D30A3F" w:rsidP="00D30A3F">
      <w:r w:rsidRPr="009B7F14">
        <w:t xml:space="preserve">The amount shall be fixed in an agreement on technical assistance between the </w:t>
      </w:r>
      <w:r w:rsidR="00D1414E" w:rsidRPr="009B7F14">
        <w:t>Donors</w:t>
      </w:r>
      <w:r w:rsidRPr="009B7F14">
        <w:t xml:space="preserve"> and the NFP</w:t>
      </w:r>
      <w:r w:rsidR="00F37581">
        <w:t xml:space="preserve"> (see Reg. A</w:t>
      </w:r>
      <w:r w:rsidR="00FD2E52" w:rsidRPr="009B7F14">
        <w:t>nnex 7 for technical assistance agreement template)</w:t>
      </w:r>
      <w:r w:rsidRPr="009B7F14">
        <w:t xml:space="preserve">. No co-financing is required for the TA </w:t>
      </w:r>
      <w:r w:rsidR="002D1D6D" w:rsidRPr="009B7F14">
        <w:t>from</w:t>
      </w:r>
      <w:r w:rsidRPr="009B7F14">
        <w:t xml:space="preserve"> the Beneficiary States.</w:t>
      </w:r>
    </w:p>
    <w:p w14:paraId="4C2CF6E3" w14:textId="77777777" w:rsidR="00D30A3F" w:rsidRPr="009B7F14" w:rsidRDefault="00D30A3F" w:rsidP="00D30A3F">
      <w:r w:rsidRPr="009B7F14">
        <w:t xml:space="preserve">The following categories of expenditure </w:t>
      </w:r>
      <w:r w:rsidR="001068DD" w:rsidRPr="009B7F14">
        <w:t xml:space="preserve">(Reg. Art. 8.11.2) </w:t>
      </w:r>
      <w:r w:rsidRPr="009B7F14">
        <w:t xml:space="preserve">may be eligible costs for TA under the conditions and limits set out in </w:t>
      </w:r>
      <w:r w:rsidR="00EA6998" w:rsidRPr="009B7F14">
        <w:t xml:space="preserve">Reg. </w:t>
      </w:r>
      <w:r w:rsidRPr="009B7F14">
        <w:t xml:space="preserve">Art. </w:t>
      </w:r>
      <w:r w:rsidR="001068DD" w:rsidRPr="009B7F14">
        <w:t xml:space="preserve">8.11.3-10 and general principles set out in Reg. Art. 8.2, </w:t>
      </w:r>
      <w:r w:rsidRPr="009B7F14">
        <w:t xml:space="preserve">provided that the expenditure is proportionate and necessary: </w:t>
      </w:r>
    </w:p>
    <w:p w14:paraId="74083DBA" w14:textId="405649AE" w:rsidR="00D30A3F" w:rsidRPr="009B7F14" w:rsidRDefault="003146B8" w:rsidP="009F01EE">
      <w:pPr>
        <w:pStyle w:val="ListParagraph"/>
        <w:numPr>
          <w:ilvl w:val="0"/>
          <w:numId w:val="27"/>
        </w:numPr>
      </w:pPr>
      <w:r>
        <w:t>I</w:t>
      </w:r>
      <w:r w:rsidR="00D30A3F" w:rsidRPr="009B7F14">
        <w:t>n the case of additional management systems specifically established for the Financial Mechanisms 2014-2021, expenditure relating to the preparation, evaluation, financial flow, and mon</w:t>
      </w:r>
      <w:r w:rsidR="007926F5" w:rsidRPr="009B7F14">
        <w:t>itoring of the assistance</w:t>
      </w:r>
      <w:r w:rsidR="002D1D6D" w:rsidRPr="009B7F14">
        <w:t>,</w:t>
      </w:r>
      <w:r w:rsidR="00D30A3F" w:rsidRPr="009B7F14">
        <w:t xml:space="preserve"> programmes</w:t>
      </w:r>
      <w:r w:rsidR="002D1D6D" w:rsidRPr="009B7F14">
        <w:t xml:space="preserve"> and the fund for bilateral relations</w:t>
      </w:r>
    </w:p>
    <w:p w14:paraId="7B34EB8C" w14:textId="6FB45AFE" w:rsidR="00D30A3F" w:rsidRPr="009B7F14" w:rsidRDefault="003146B8" w:rsidP="009F01EE">
      <w:pPr>
        <w:pStyle w:val="ListParagraph"/>
        <w:numPr>
          <w:ilvl w:val="0"/>
          <w:numId w:val="27"/>
        </w:numPr>
      </w:pPr>
      <w:r>
        <w:t>P</w:t>
      </w:r>
      <w:r w:rsidR="00D30A3F" w:rsidRPr="009B7F14">
        <w:t>reparation of and participation in annual meetings with the Donor States, and other meetings with the Donor States relating to the implementation of the assistance. This expenditure may also include the costs of experts and other participants, including third-country participants, where the chairperson  considers their presence essential to the effective i</w:t>
      </w:r>
      <w:r w:rsidR="00DE5468">
        <w:t>mplementation of the assistance</w:t>
      </w:r>
    </w:p>
    <w:p w14:paraId="383D581D" w14:textId="296E86D9" w:rsidR="00D30A3F" w:rsidRPr="009B7F14" w:rsidRDefault="003146B8" w:rsidP="009F01EE">
      <w:pPr>
        <w:pStyle w:val="ListParagraph"/>
        <w:numPr>
          <w:ilvl w:val="0"/>
          <w:numId w:val="27"/>
        </w:numPr>
      </w:pPr>
      <w:r>
        <w:t>M</w:t>
      </w:r>
      <w:r w:rsidR="00D30A3F" w:rsidRPr="009B7F14">
        <w:t>eetings and conferences organised by the NFP</w:t>
      </w:r>
      <w:r w:rsidR="002D1D6D" w:rsidRPr="009B7F14">
        <w:t xml:space="preserve">, the </w:t>
      </w:r>
      <w:r w:rsidR="001068DD" w:rsidRPr="009B7F14">
        <w:t>AA</w:t>
      </w:r>
      <w:r w:rsidR="002D1D6D" w:rsidRPr="009B7F14">
        <w:t>, the Irregularities Authority</w:t>
      </w:r>
      <w:r w:rsidR="00DF4357">
        <w:t xml:space="preserve"> </w:t>
      </w:r>
      <w:r w:rsidR="00D30A3F" w:rsidRPr="009B7F14">
        <w:t xml:space="preserve">or the </w:t>
      </w:r>
      <w:r w:rsidR="00284FB3" w:rsidRPr="009B7F14">
        <w:t>CA</w:t>
      </w:r>
      <w:r w:rsidR="00D30A3F" w:rsidRPr="009B7F14">
        <w:t xml:space="preserve"> to share experience related to the implementation, monitoring, evaluation, reporting and auditing of projects funded by the Financial Mechanism</w:t>
      </w:r>
      <w:r w:rsidR="002D1D6D" w:rsidRPr="009B7F14">
        <w:t>s</w:t>
      </w:r>
      <w:r w:rsidR="00D30A3F" w:rsidRPr="009B7F14">
        <w:t xml:space="preserve"> 2014-2021, including expenditure related to travel and accommodation of participants. The Donor States shall be invited to participate </w:t>
      </w:r>
      <w:r w:rsidR="00DE5468">
        <w:t>in such meetings or conferences</w:t>
      </w:r>
    </w:p>
    <w:p w14:paraId="246A2CEC" w14:textId="2D4294C5" w:rsidR="00D30A3F" w:rsidRPr="009B7F14" w:rsidRDefault="003146B8" w:rsidP="009F01EE">
      <w:pPr>
        <w:pStyle w:val="ListParagraph"/>
        <w:numPr>
          <w:ilvl w:val="0"/>
          <w:numId w:val="27"/>
        </w:numPr>
      </w:pPr>
      <w:r>
        <w:t>P</w:t>
      </w:r>
      <w:r w:rsidR="00D30A3F" w:rsidRPr="009B7F14">
        <w:t>romoti</w:t>
      </w:r>
      <w:r w:rsidR="00DE5468">
        <w:t>onal and information activities</w:t>
      </w:r>
    </w:p>
    <w:p w14:paraId="184A3227" w14:textId="5CC10582" w:rsidR="00D30A3F" w:rsidRPr="009B7F14" w:rsidRDefault="003146B8" w:rsidP="009F01EE">
      <w:pPr>
        <w:pStyle w:val="ListParagraph"/>
        <w:numPr>
          <w:ilvl w:val="0"/>
          <w:numId w:val="27"/>
        </w:numPr>
      </w:pPr>
      <w:r>
        <w:t>A</w:t>
      </w:r>
      <w:r w:rsidR="00D30A3F" w:rsidRPr="009B7F14">
        <w:t>udits referred to in Reg. Art. 5.5, a</w:t>
      </w:r>
      <w:r w:rsidR="00DE5468">
        <w:t>nd paragraph 3 of Reg. Art. 5.7</w:t>
      </w:r>
    </w:p>
    <w:p w14:paraId="7172C287" w14:textId="77777777" w:rsidR="00D30A3F" w:rsidRPr="009B7F14" w:rsidRDefault="003146B8" w:rsidP="009F01EE">
      <w:pPr>
        <w:pStyle w:val="ListParagraph"/>
        <w:numPr>
          <w:ilvl w:val="0"/>
          <w:numId w:val="27"/>
        </w:numPr>
      </w:pPr>
      <w:r>
        <w:t>E</w:t>
      </w:r>
      <w:r w:rsidR="00D30A3F" w:rsidRPr="009B7F14">
        <w:t xml:space="preserve">xpenditure related to on-the-spot verifications of programmes and projects; </w:t>
      </w:r>
    </w:p>
    <w:p w14:paraId="5A9DB65E" w14:textId="54228F65" w:rsidR="00D30A3F" w:rsidRPr="009B7F14" w:rsidRDefault="003146B8" w:rsidP="009F01EE">
      <w:pPr>
        <w:pStyle w:val="ListParagraph"/>
        <w:numPr>
          <w:ilvl w:val="0"/>
          <w:numId w:val="27"/>
        </w:numPr>
      </w:pPr>
      <w:r>
        <w:t>R</w:t>
      </w:r>
      <w:r w:rsidR="00DE5468">
        <w:t>eviews and evaluations</w:t>
      </w:r>
      <w:r w:rsidR="00D30A3F" w:rsidRPr="009B7F14">
        <w:t xml:space="preserve"> </w:t>
      </w:r>
    </w:p>
    <w:p w14:paraId="6F6A21C4" w14:textId="72F013B0" w:rsidR="00D30A3F" w:rsidRPr="009B7F14" w:rsidRDefault="00B310B7" w:rsidP="009F01EE">
      <w:pPr>
        <w:pStyle w:val="ListParagraph"/>
        <w:numPr>
          <w:ilvl w:val="0"/>
          <w:numId w:val="27"/>
        </w:numPr>
      </w:pPr>
      <w:r>
        <w:t>TA</w:t>
      </w:r>
      <w:r w:rsidR="00D30A3F" w:rsidRPr="009B7F14">
        <w:t xml:space="preserve"> for the implementation of the Financial Mechanisms 2009-2014 incurred during the 12 months following the final date of eligibility for that </w:t>
      </w:r>
      <w:r>
        <w:t>TA</w:t>
      </w:r>
      <w:r w:rsidR="00D30A3F" w:rsidRPr="009B7F14">
        <w:t>; and</w:t>
      </w:r>
    </w:p>
    <w:p w14:paraId="559E5270" w14:textId="6179EE48" w:rsidR="00D665C8" w:rsidRPr="009B7F14" w:rsidRDefault="003146B8" w:rsidP="009F01EE">
      <w:pPr>
        <w:pStyle w:val="ListParagraph"/>
        <w:numPr>
          <w:ilvl w:val="0"/>
          <w:numId w:val="27"/>
        </w:numPr>
      </w:pPr>
      <w:r>
        <w:t>P</w:t>
      </w:r>
      <w:r w:rsidR="00D30A3F" w:rsidRPr="009B7F14">
        <w:t>reparation of the implementation of the</w:t>
      </w:r>
      <w:r w:rsidR="00DE5468">
        <w:t xml:space="preserve"> Financial Mechanisms 2014-2021</w:t>
      </w:r>
    </w:p>
    <w:p w14:paraId="35CD84CE" w14:textId="269EA9BE" w:rsidR="00D665C8" w:rsidRPr="009B7F14" w:rsidRDefault="006A0892" w:rsidP="00D665C8">
      <w:r w:rsidRPr="009B7F14">
        <w:t xml:space="preserve">The first date of eligibility for support within TA shall be the date of the last signature of the MoU with the respective Beneficiary State. If support for TA is received under both the EEA and the Norwegian Financial Mechanisms, the first date of eligibility of any funding for </w:t>
      </w:r>
      <w:r w:rsidR="00B310B7">
        <w:t>TA</w:t>
      </w:r>
      <w:r w:rsidRPr="009B7F14">
        <w:t xml:space="preserve"> shall be the date of the last signature of whichever MoU is signed first.</w:t>
      </w:r>
    </w:p>
    <w:p w14:paraId="286C9ED1" w14:textId="65E66EF7" w:rsidR="00D30A3F" w:rsidRPr="009B7F14" w:rsidRDefault="00D30A3F" w:rsidP="00D30A3F">
      <w:r w:rsidRPr="009B7F14">
        <w:t xml:space="preserve">The final date of eligibility of expenditure under </w:t>
      </w:r>
      <w:r w:rsidR="00B310B7">
        <w:t>TA</w:t>
      </w:r>
      <w:r w:rsidRPr="009B7F14">
        <w:t xml:space="preserve"> shall be 31 August 2025. The Final Programme Report</w:t>
      </w:r>
      <w:r w:rsidR="007A1507">
        <w:t xml:space="preserve"> (FPR)</w:t>
      </w:r>
      <w:r w:rsidRPr="009B7F14">
        <w:t xml:space="preserve"> for </w:t>
      </w:r>
      <w:r w:rsidR="00B310B7">
        <w:t>TA</w:t>
      </w:r>
      <w:r w:rsidRPr="009B7F14">
        <w:t xml:space="preserve"> shall be submitted no later than 15 November 2025.</w:t>
      </w:r>
    </w:p>
    <w:p w14:paraId="6A157271" w14:textId="77777777" w:rsidR="00D30A3F" w:rsidRPr="009B7F14" w:rsidRDefault="00D30A3F" w:rsidP="00D30A3F">
      <w:r w:rsidRPr="009B7F14">
        <w:t>Expenditure related to the preparation of the implementation of the Financial Mechanisms 2014-2021 (</w:t>
      </w:r>
      <w:r w:rsidR="000660FF" w:rsidRPr="009B7F14">
        <w:t xml:space="preserve">Reg. </w:t>
      </w:r>
      <w:r w:rsidR="00E07673" w:rsidRPr="009B7F14">
        <w:t xml:space="preserve">Art. 8.11.8 and </w:t>
      </w:r>
      <w:r w:rsidRPr="009B7F14">
        <w:t>8.11.2</w:t>
      </w:r>
      <w:r w:rsidR="00DD092C" w:rsidRPr="009B7F14">
        <w:t xml:space="preserve"> (</w:t>
      </w:r>
      <w:r w:rsidR="00E07673" w:rsidRPr="009B7F14">
        <w:t>i</w:t>
      </w:r>
      <w:r w:rsidR="00DD092C" w:rsidRPr="009B7F14">
        <w:t>)</w:t>
      </w:r>
      <w:r w:rsidRPr="009B7F14">
        <w:t xml:space="preserve">) may be eligible as of the date when the </w:t>
      </w:r>
      <w:r w:rsidR="00D665C8" w:rsidRPr="009B7F14">
        <w:t>Donors are</w:t>
      </w:r>
      <w:r w:rsidRPr="009B7F14">
        <w:t xml:space="preserve"> notified of the designation of the </w:t>
      </w:r>
      <w:r w:rsidR="00A26328" w:rsidRPr="009B7F14">
        <w:t xml:space="preserve">Beneficiary State </w:t>
      </w:r>
      <w:r w:rsidRPr="009B7F14">
        <w:t xml:space="preserve">authority responsible for the </w:t>
      </w:r>
      <w:r w:rsidR="00A26328" w:rsidRPr="009B7F14">
        <w:t>MoU negotiations</w:t>
      </w:r>
      <w:r w:rsidRPr="009B7F14">
        <w:t xml:space="preserve">. Eligibility of incurred expenditure shall be conditional on the signature of the MoU and could, </w:t>
      </w:r>
      <w:r w:rsidR="00570AAE" w:rsidRPr="009B7F14">
        <w:t>e.g.,</w:t>
      </w:r>
      <w:r w:rsidRPr="009B7F14">
        <w:t xml:space="preserve"> cover the travel/accommodation and remuneration costs for representatives of the NFP and line ministries/institutions involved in the negotiations process of the </w:t>
      </w:r>
      <w:r w:rsidR="00570AAE" w:rsidRPr="009B7F14">
        <w:t xml:space="preserve">MoU </w:t>
      </w:r>
      <w:r w:rsidRPr="009B7F14">
        <w:t xml:space="preserve">or remuneration of NFP employees involved in preparation of national legal framework of </w:t>
      </w:r>
      <w:r w:rsidR="0053237A" w:rsidRPr="009B7F14">
        <w:t xml:space="preserve">the </w:t>
      </w:r>
      <w:r w:rsidRPr="009B7F14">
        <w:t>FM</w:t>
      </w:r>
      <w:r w:rsidR="004F67F8" w:rsidRPr="009B7F14">
        <w:t>s</w:t>
      </w:r>
      <w:r w:rsidRPr="009B7F14">
        <w:t xml:space="preserve"> 2014-2021 etc. provided that the expenditure is proportionate and necessary.</w:t>
      </w:r>
    </w:p>
    <w:p w14:paraId="63F10936" w14:textId="77777777" w:rsidR="00CA1389" w:rsidRPr="009B7F14" w:rsidRDefault="00CA1389" w:rsidP="00920571">
      <w:pPr>
        <w:pStyle w:val="Heading2"/>
      </w:pPr>
      <w:bookmarkStart w:id="20" w:name="_Ref462062513"/>
      <w:bookmarkStart w:id="21" w:name="_Toc484174833"/>
      <w:r w:rsidRPr="009B7F14">
        <w:t>General principles on the eligibility of expenditures (Reg. Art. 8.2)</w:t>
      </w:r>
      <w:bookmarkEnd w:id="20"/>
      <w:bookmarkEnd w:id="21"/>
    </w:p>
    <w:p w14:paraId="30FB375B" w14:textId="77777777" w:rsidR="00CA1389" w:rsidRPr="009B7F14" w:rsidRDefault="00CA1389" w:rsidP="00CA1389">
      <w:r w:rsidRPr="009B7F14">
        <w:t>The principles described below apply mutatis mutandis to any kind of expenditure incurred under the Financial Mechanisms 2014-2021.</w:t>
      </w:r>
    </w:p>
    <w:p w14:paraId="308776A0" w14:textId="77777777" w:rsidR="00CA1389" w:rsidRDefault="00CA1389" w:rsidP="00CA1389">
      <w:r w:rsidRPr="009B7F14">
        <w:rPr>
          <w:noProof/>
          <w:lang w:eastAsia="en-GB"/>
        </w:rPr>
        <mc:AlternateContent>
          <mc:Choice Requires="wps">
            <w:drawing>
              <wp:anchor distT="0" distB="0" distL="114300" distR="114300" simplePos="0" relativeHeight="251735040" behindDoc="0" locked="0" layoutInCell="1" allowOverlap="1" wp14:anchorId="310A091C" wp14:editId="690C41EF">
                <wp:simplePos x="0" y="0"/>
                <wp:positionH relativeFrom="margin">
                  <wp:posOffset>2990850</wp:posOffset>
                </wp:positionH>
                <wp:positionV relativeFrom="paragraph">
                  <wp:posOffset>30480</wp:posOffset>
                </wp:positionV>
                <wp:extent cx="3044190" cy="2390775"/>
                <wp:effectExtent l="0" t="0" r="22860" b="333375"/>
                <wp:wrapSquare wrapText="bothSides"/>
                <wp:docPr id="21" name="Rounded Rectangular Callout 21"/>
                <wp:cNvGraphicFramePr/>
                <a:graphic xmlns:a="http://schemas.openxmlformats.org/drawingml/2006/main">
                  <a:graphicData uri="http://schemas.microsoft.com/office/word/2010/wordprocessingShape">
                    <wps:wsp>
                      <wps:cNvSpPr/>
                      <wps:spPr>
                        <a:xfrm>
                          <a:off x="0" y="0"/>
                          <a:ext cx="3044190" cy="2390775"/>
                        </a:xfrm>
                        <a:prstGeom prst="wedgeRoundRectCallout">
                          <a:avLst/>
                        </a:prstGeom>
                      </wps:spPr>
                      <wps:style>
                        <a:lnRef idx="2">
                          <a:schemeClr val="dk1"/>
                        </a:lnRef>
                        <a:fillRef idx="1">
                          <a:schemeClr val="lt1"/>
                        </a:fillRef>
                        <a:effectRef idx="0">
                          <a:schemeClr val="dk1"/>
                        </a:effectRef>
                        <a:fontRef idx="minor">
                          <a:schemeClr val="dk1"/>
                        </a:fontRef>
                      </wps:style>
                      <wps:txbx>
                        <w:txbxContent>
                          <w:p w14:paraId="551965BC" w14:textId="77777777" w:rsidR="00A87AB3" w:rsidRPr="00ED13FE" w:rsidRDefault="00A87AB3" w:rsidP="00CA1389">
                            <w:pPr>
                              <w:jc w:val="left"/>
                              <w:rPr>
                                <w:color w:val="4472C4" w:themeColor="accent5"/>
                                <w:sz w:val="18"/>
                              </w:rPr>
                            </w:pPr>
                            <w:r w:rsidRPr="00ED13FE">
                              <w:rPr>
                                <w:color w:val="4472C4" w:themeColor="accent5"/>
                                <w:sz w:val="18"/>
                              </w:rPr>
                              <w:t>Expenditures are considered to have been incurred when the cost has been invoiced, paid and the subject matter delivered or performed. Exceptionally, costs in respect of which an invoice has been issued in the final month of eligibility are also deemed to be incurred within the dates of eligibility if the costs are paid within 30 days of the final date of eligibility. Overheads and depreciation of equipment are considered to have been incurred when they are recorded on the accounts of the PP and/or project partner (Reg. Art. 8.2.3)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A091C" id="Rounded Rectangular Callout 21" o:spid="_x0000_s1032" type="#_x0000_t62" style="position:absolute;left:0;text-align:left;margin-left:235.5pt;margin-top:2.4pt;width:239.7pt;height:188.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" adj="6300,24300" fillcolor="white [3201]" strokecolor="black [3200]" strokeweight="1pt">
                <v:textbox>
                  <w:txbxContent>
                    <w:p w14:paraId="551965BC" w14:textId="77777777" w:rsidR="00A87AB3" w:rsidRPr="00ED13FE" w:rsidRDefault="00A87AB3" w:rsidP="00CA1389">
                      <w:pPr>
                        <w:jc w:val="left"/>
                        <w:rPr>
                          <w:color w:val="4472C4" w:themeColor="accent5"/>
                          <w:sz w:val="18"/>
                        </w:rPr>
                      </w:pPr>
                      <w:r w:rsidRPr="00ED13FE">
                        <w:rPr>
                          <w:color w:val="4472C4" w:themeColor="accent5"/>
                          <w:sz w:val="18"/>
                        </w:rPr>
                        <w:t>Expenditures are considered to have been incurred when the cost has been invoiced, paid and the subject matter delivered or performed. Exceptionally, costs in respect of which an invoice has been issued in the final month of eligibility are also deemed to be incurred within the dates of eligibility if the costs are paid within 30 days of the final date of eligibility. Overheads and depreciation of equipment are considered to have been incurred when they are recorded on the accounts of the PP and/or project partner (Reg. Art. 8.2.3)</w:t>
                      </w:r>
                    </w:p>
                  </w:txbxContent>
                </v:textbox>
                <w10:wrap type="square" anchorx="margin"/>
              </v:shape>
            </w:pict>
          </mc:Fallback>
        </mc:AlternateContent>
      </w:r>
      <w:r w:rsidRPr="009B7F14">
        <w:t>In order to be considered eligible, expenditures incurred within the project must satisfy the eligibility criteria laid down in the Reg. Art. 8.2-</w:t>
      </w:r>
      <w:r>
        <w:t>6</w:t>
      </w:r>
      <w:r w:rsidRPr="009B7F14">
        <w:t>, applicable to expenditure actually incurred by the PP and</w:t>
      </w:r>
      <w:r>
        <w:t>/or project partner(s).</w:t>
      </w:r>
    </w:p>
    <w:p w14:paraId="57DEA66D" w14:textId="614E5709" w:rsidR="00CA1389" w:rsidRPr="009B7F14" w:rsidRDefault="00CA1389" w:rsidP="00CA1389">
      <w:r w:rsidRPr="009B7F14">
        <w:t>Supporting documents</w:t>
      </w:r>
      <w:r w:rsidRPr="009B7F14">
        <w:rPr>
          <w:rStyle w:val="FootnoteReference"/>
        </w:rPr>
        <w:footnoteReference w:id="4"/>
      </w:r>
      <w:r w:rsidRPr="009B7F14">
        <w:t xml:space="preserve"> regarding expenditure and audits must be kept either in the form of originals or in versions certified to be in conformity with the originals for a period of at least three years following the approval of the </w:t>
      </w:r>
      <w:r w:rsidR="007A1507">
        <w:t>FPR</w:t>
      </w:r>
      <w:r w:rsidRPr="009B7F14">
        <w:t xml:space="preserve"> (Reg. Art. 9.8), without prejudice to more stringent national rules.</w:t>
      </w:r>
    </w:p>
    <w:p w14:paraId="13A37652" w14:textId="77777777" w:rsidR="00CA1389" w:rsidRPr="009B7F14" w:rsidRDefault="00CA1389" w:rsidP="00CA1389">
      <w:r w:rsidRPr="009B7F14">
        <w:t>In order to be eligible, expenditure must be in accordance with the following subsections.</w:t>
      </w:r>
    </w:p>
    <w:p w14:paraId="00FEEFA6" w14:textId="77777777" w:rsidR="00CA1389" w:rsidRPr="009B7F14" w:rsidRDefault="00CA1389" w:rsidP="00920571">
      <w:pPr>
        <w:pStyle w:val="Heading3"/>
      </w:pPr>
      <w:r w:rsidRPr="009B7F14">
        <w:t>Incurred between the first and final dates of eligibility</w:t>
      </w:r>
    </w:p>
    <w:p w14:paraId="4F3C6E33" w14:textId="77777777" w:rsidR="00CA1389" w:rsidRPr="009B7F14" w:rsidRDefault="00CA1389" w:rsidP="00CA1389">
      <w:r w:rsidRPr="009B7F14">
        <w:t xml:space="preserve">Only costs incurred during the specified eligibility period are eligible. </w:t>
      </w:r>
    </w:p>
    <w:p w14:paraId="5C5C6B86" w14:textId="77777777" w:rsidR="00CA1389" w:rsidRPr="009B7F14" w:rsidRDefault="00CA1389" w:rsidP="00CA1389">
      <w:r w:rsidRPr="009B7F14">
        <w:t>On the project level, incurred expenditure shall be eligible for grant assistance as of the date on which the PO decides to award the project grant</w:t>
      </w:r>
      <w:r w:rsidRPr="009B7F14">
        <w:rPr>
          <w:rStyle w:val="FootnoteReference"/>
        </w:rPr>
        <w:footnoteReference w:id="5"/>
      </w:r>
      <w:r w:rsidRPr="009B7F14">
        <w:t xml:space="preserve">, unless a later date is provided in the PA, Programme Implementation Agreement (PIA), or the project contract. The first and final dates of eligibility of project expenditures shall be stated in the project contract. The final date of eligibility shall be no later than either one year after the scheduled completion of the project or 30 April 2024, whichever is earlier. </w:t>
      </w:r>
    </w:p>
    <w:p w14:paraId="6095E68B" w14:textId="77777777" w:rsidR="00CA1389" w:rsidRPr="009B7F14" w:rsidRDefault="00CA1389" w:rsidP="00CA1389">
      <w:r w:rsidRPr="009B7F14">
        <w:t>The first date of eligibility of any pre-defined project shall be no earlier than the date on which the NFP notifies the FMO of a positive appraisal of the pre-defined project by the PO (Reg. Art. 6.5.3).</w:t>
      </w:r>
    </w:p>
    <w:p w14:paraId="71BA4DCA" w14:textId="77777777" w:rsidR="00CA1389" w:rsidRPr="009B7F14" w:rsidRDefault="00CA1389" w:rsidP="00920571">
      <w:pPr>
        <w:pStyle w:val="Heading3"/>
      </w:pPr>
      <w:r w:rsidRPr="009B7F14">
        <w:t>Connected with the subject of the project contract and indicated in the budget</w:t>
      </w:r>
    </w:p>
    <w:p w14:paraId="134742C9" w14:textId="5C2A75A0" w:rsidR="00CA1389" w:rsidRPr="009B7F14" w:rsidRDefault="00CA1389" w:rsidP="00CA1389">
      <w:r w:rsidRPr="009B7F14">
        <w:t xml:space="preserve">Estimation of eligible expenditures must be shown in detail in the project </w:t>
      </w:r>
      <w:r w:rsidR="00550B8E">
        <w:t>cost (</w:t>
      </w:r>
      <w:r w:rsidRPr="009B7F14">
        <w:t>budget</w:t>
      </w:r>
      <w:r w:rsidR="00550B8E">
        <w:t>)</w:t>
      </w:r>
      <w:r w:rsidRPr="009B7F14">
        <w:t xml:space="preserve">. One expenditure item cannot be covered under more than one expenditure category or under more than one budget line under a given expenditure category. </w:t>
      </w:r>
    </w:p>
    <w:p w14:paraId="2FD9CAFF" w14:textId="36F4AAAD" w:rsidR="00CA1389" w:rsidRPr="009B7F14" w:rsidRDefault="00CA1389" w:rsidP="00CA1389">
      <w:r w:rsidRPr="009B7F14">
        <w:t xml:space="preserve">At the stage of the project selection, the eligibility of expenditures included in the project </w:t>
      </w:r>
      <w:r w:rsidR="00550B8E">
        <w:t>cost (</w:t>
      </w:r>
      <w:r w:rsidRPr="009B7F14">
        <w:t>budget</w:t>
      </w:r>
      <w:r w:rsidR="00550B8E">
        <w:t>)</w:t>
      </w:r>
      <w:r w:rsidRPr="009B7F14">
        <w:t xml:space="preserve"> should be verified. All amounts stated in the respected </w:t>
      </w:r>
      <w:r w:rsidR="00550B8E">
        <w:t>cost (</w:t>
      </w:r>
      <w:r w:rsidRPr="009B7F14">
        <w:t>budget</w:t>
      </w:r>
      <w:r w:rsidR="00550B8E">
        <w:t>)</w:t>
      </w:r>
      <w:r w:rsidRPr="009B7F14">
        <w:t xml:space="preserve"> expenditure categories in the project </w:t>
      </w:r>
      <w:r w:rsidR="00550B8E">
        <w:t>cost (</w:t>
      </w:r>
      <w:r w:rsidRPr="009B7F14">
        <w:t>budget</w:t>
      </w:r>
      <w:r w:rsidR="00550B8E">
        <w:t>)</w:t>
      </w:r>
      <w:r w:rsidRPr="009B7F14">
        <w:t xml:space="preserve"> as well as in the project contract are indicative. Final eligible expenditure shall be calculated on the basis of reported eligible expenditure after adequate controls have been performed.</w:t>
      </w:r>
    </w:p>
    <w:p w14:paraId="514D7865" w14:textId="77777777" w:rsidR="00CA1389" w:rsidRPr="009B7F14" w:rsidRDefault="00CA1389" w:rsidP="00920571">
      <w:pPr>
        <w:pStyle w:val="Heading3"/>
      </w:pPr>
      <w:r w:rsidRPr="009B7F14">
        <w:t>Proportionate and necessary for the implementation of the project</w:t>
      </w:r>
    </w:p>
    <w:p w14:paraId="241099C7" w14:textId="77777777" w:rsidR="00CA1389" w:rsidRPr="009B7F14" w:rsidRDefault="00CA1389" w:rsidP="00CA1389">
      <w:r w:rsidRPr="009B7F14">
        <w:t xml:space="preserve">Costs must be reasonable and justified. </w:t>
      </w:r>
    </w:p>
    <w:p w14:paraId="2BE82E07" w14:textId="77777777" w:rsidR="00CA1389" w:rsidRPr="009B7F14" w:rsidRDefault="00CA1389" w:rsidP="00CA1389">
      <w:r w:rsidRPr="00B9457C">
        <w:rPr>
          <w:b/>
        </w:rPr>
        <w:t>Proportionate</w:t>
      </w:r>
      <w:r w:rsidRPr="009B7F14">
        <w:t>: does not exceed what is needed in order to achieve the objective sought. This can normally be assessed through price comparison or the consideration of other measures that can achieve the same result in a more economical way</w:t>
      </w:r>
    </w:p>
    <w:p w14:paraId="053A8801" w14:textId="77777777" w:rsidR="00CA1389" w:rsidRPr="009B7F14" w:rsidRDefault="00CA1389" w:rsidP="00CA1389">
      <w:r w:rsidRPr="00B9457C">
        <w:rPr>
          <w:b/>
        </w:rPr>
        <w:t>Necessary</w:t>
      </w:r>
      <w:r w:rsidRPr="009B7F14">
        <w:t>: the expenditure item is truly necessary (indispensable) for the achievement of the results.</w:t>
      </w:r>
    </w:p>
    <w:p w14:paraId="31805074" w14:textId="34FF3322" w:rsidR="00CA1389" w:rsidRPr="009B7F14" w:rsidRDefault="00CA1389" w:rsidP="00920571">
      <w:pPr>
        <w:pStyle w:val="Heading3"/>
      </w:pPr>
      <w:r w:rsidRPr="009B7F14">
        <w:t>Used for the sole purpose of achieving the objective(s) of the project and its expected outcome(s) in a manner consistent with principles of economy, efficiency and effectiveness</w:t>
      </w:r>
    </w:p>
    <w:p w14:paraId="229B2D90" w14:textId="77777777" w:rsidR="00CA1389" w:rsidRPr="009B7F14" w:rsidRDefault="00CA1389" w:rsidP="00CA1389">
      <w:r w:rsidRPr="009B7F14">
        <w:rPr>
          <w:noProof/>
          <w:lang w:eastAsia="en-GB"/>
        </w:rPr>
        <mc:AlternateContent>
          <mc:Choice Requires="wps">
            <w:drawing>
              <wp:anchor distT="0" distB="0" distL="114300" distR="114300" simplePos="0" relativeHeight="251736064" behindDoc="0" locked="0" layoutInCell="1" allowOverlap="1" wp14:anchorId="164A61C7" wp14:editId="3E95D953">
                <wp:simplePos x="0" y="0"/>
                <wp:positionH relativeFrom="margin">
                  <wp:posOffset>3429000</wp:posOffset>
                </wp:positionH>
                <wp:positionV relativeFrom="paragraph">
                  <wp:posOffset>143510</wp:posOffset>
                </wp:positionV>
                <wp:extent cx="2386965" cy="1590675"/>
                <wp:effectExtent l="0" t="0" r="13335" b="238125"/>
                <wp:wrapSquare wrapText="bothSides"/>
                <wp:docPr id="22" name="Rounded Rectangular Callout 22"/>
                <wp:cNvGraphicFramePr/>
                <a:graphic xmlns:a="http://schemas.openxmlformats.org/drawingml/2006/main">
                  <a:graphicData uri="http://schemas.microsoft.com/office/word/2010/wordprocessingShape">
                    <wps:wsp>
                      <wps:cNvSpPr/>
                      <wps:spPr>
                        <a:xfrm>
                          <a:off x="0" y="0"/>
                          <a:ext cx="2386965" cy="1590675"/>
                        </a:xfrm>
                        <a:prstGeom prst="wedgeRoundRectCallout">
                          <a:avLst/>
                        </a:prstGeom>
                      </wps:spPr>
                      <wps:style>
                        <a:lnRef idx="2">
                          <a:schemeClr val="dk1"/>
                        </a:lnRef>
                        <a:fillRef idx="1">
                          <a:schemeClr val="lt1"/>
                        </a:fillRef>
                        <a:effectRef idx="0">
                          <a:schemeClr val="dk1"/>
                        </a:effectRef>
                        <a:fontRef idx="minor">
                          <a:schemeClr val="dk1"/>
                        </a:fontRef>
                      </wps:style>
                      <wps:txbx>
                        <w:txbxContent>
                          <w:p w14:paraId="4A60C7EB" w14:textId="77777777" w:rsidR="00A87AB3" w:rsidRPr="00ED13FE" w:rsidRDefault="00A87AB3" w:rsidP="00CA1389">
                            <w:pPr>
                              <w:jc w:val="left"/>
                              <w:rPr>
                                <w:color w:val="4472C4" w:themeColor="accent5"/>
                                <w:sz w:val="18"/>
                              </w:rPr>
                            </w:pPr>
                            <w:r w:rsidRPr="00ED13FE">
                              <w:rPr>
                                <w:color w:val="4472C4" w:themeColor="accent5"/>
                                <w:sz w:val="18"/>
                              </w:rPr>
                              <w:t>Where new or second hand equipment is purchased, only the portion of the depreciation corresponding to the duration of the project and the rate of actual use for the purposes of the project may be considered eligible expenditure (Reg. Art. 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4A61C7" id="Rounded Rectangular Callout 22" o:spid="_x0000_s1033" type="#_x0000_t62" style="position:absolute;left:0;text-align:left;margin-left:270pt;margin-top:11.3pt;width:187.95pt;height:125.2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" adj="6300,24300" fillcolor="white [3201]" strokecolor="black [3200]" strokeweight="1pt">
                <v:textbox>
                  <w:txbxContent>
                    <w:p w14:paraId="4A60C7EB" w14:textId="77777777" w:rsidR="00A87AB3" w:rsidRPr="00ED13FE" w:rsidRDefault="00A87AB3" w:rsidP="00CA1389">
                      <w:pPr>
                        <w:jc w:val="left"/>
                        <w:rPr>
                          <w:color w:val="4472C4" w:themeColor="accent5"/>
                          <w:sz w:val="18"/>
                        </w:rPr>
                      </w:pPr>
                      <w:r w:rsidRPr="00ED13FE">
                        <w:rPr>
                          <w:color w:val="4472C4" w:themeColor="accent5"/>
                          <w:sz w:val="18"/>
                        </w:rPr>
                        <w:t>Where new or second hand equipment is purchased, only the portion of the depreciation corresponding to the duration of the project and the rate of actual use for the purposes of the project may be considered eligible expenditure (Reg. Art. 8.2.4)</w:t>
                      </w:r>
                    </w:p>
                  </w:txbxContent>
                </v:textbox>
                <w10:wrap type="square" anchorx="margin"/>
              </v:shape>
            </w:pict>
          </mc:Fallback>
        </mc:AlternateContent>
      </w:r>
      <w:r w:rsidRPr="009B7F14">
        <w:t>Expenditure should only be eligible if it has been incurred for the purpose of achieving the objective(s) of the relevant project and its expected outcomes.</w:t>
      </w:r>
    </w:p>
    <w:p w14:paraId="362FA25D" w14:textId="77777777" w:rsidR="00CA1389" w:rsidRPr="009B7F14" w:rsidRDefault="00CA1389" w:rsidP="00CA1389">
      <w:r w:rsidRPr="009B7F14">
        <w:rPr>
          <w:rFonts w:cs="Times New Roman"/>
          <w:noProof/>
          <w:color w:val="000000"/>
          <w:sz w:val="24"/>
          <w:szCs w:val="24"/>
          <w:lang w:eastAsia="en-GB"/>
        </w:rPr>
        <mc:AlternateContent>
          <mc:Choice Requires="wps">
            <w:drawing>
              <wp:anchor distT="45720" distB="45720" distL="114300" distR="114300" simplePos="0" relativeHeight="251734016" behindDoc="0" locked="0" layoutInCell="1" allowOverlap="1" wp14:anchorId="15BF0A50" wp14:editId="3C621A98">
                <wp:simplePos x="0" y="0"/>
                <wp:positionH relativeFrom="margin">
                  <wp:align>center</wp:align>
                </wp:positionH>
                <wp:positionV relativeFrom="paragraph">
                  <wp:posOffset>1419860</wp:posOffset>
                </wp:positionV>
                <wp:extent cx="5667375" cy="15811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581150"/>
                        </a:xfrm>
                        <a:prstGeom prst="rect">
                          <a:avLst/>
                        </a:prstGeom>
                        <a:solidFill>
                          <a:schemeClr val="bg1"/>
                        </a:solidFill>
                        <a:ln w="9525">
                          <a:solidFill>
                            <a:schemeClr val="tx1"/>
                          </a:solidFill>
                          <a:miter lim="800000"/>
                          <a:headEnd/>
                          <a:tailEnd/>
                        </a:ln>
                      </wps:spPr>
                      <wps:txbx>
                        <w:txbxContent>
                          <w:p w14:paraId="7DE26E6A" w14:textId="77777777" w:rsidR="00A87AB3" w:rsidRPr="00ED13FE" w:rsidRDefault="00A87AB3" w:rsidP="00CA1389">
                            <w:pPr>
                              <w:rPr>
                                <w:b/>
                                <w:sz w:val="18"/>
                              </w:rPr>
                            </w:pPr>
                            <w:r w:rsidRPr="00ED13FE">
                              <w:rPr>
                                <w:b/>
                                <w:sz w:val="18"/>
                              </w:rPr>
                              <w:t xml:space="preserve">Example: </w:t>
                            </w:r>
                          </w:p>
                          <w:p w14:paraId="72B2D5DC" w14:textId="77777777" w:rsidR="00A87AB3" w:rsidRPr="00ED13FE" w:rsidRDefault="00A87AB3" w:rsidP="00CA1389">
                            <w:pPr>
                              <w:rPr>
                                <w:sz w:val="18"/>
                              </w:rPr>
                            </w:pPr>
                            <w:r w:rsidRPr="00ED13FE">
                              <w:rPr>
                                <w:sz w:val="18"/>
                              </w:rPr>
                              <w:t xml:space="preserve">If, in the usual accounting principles of the PP and/or project partner, a particular cost is considered as an indirect cost, then it has to be considered also as an indirect cost in the project under the EEA and Norwegian Financial Mechanisms. </w:t>
                            </w:r>
                          </w:p>
                          <w:p w14:paraId="51C354C7" w14:textId="77777777" w:rsidR="00A87AB3" w:rsidRPr="00ED13FE" w:rsidRDefault="00A87AB3" w:rsidP="00CA1389">
                            <w:pPr>
                              <w:rPr>
                                <w:sz w:val="18"/>
                              </w:rPr>
                            </w:pPr>
                            <w:r w:rsidRPr="00ED13FE">
                              <w:rPr>
                                <w:sz w:val="18"/>
                              </w:rPr>
                              <w:t>When the PP and/or project partner needs to introduce changes in order to bring its ‘usual’ accounting practices in line with other provisions of the project contract and the Regulation (e.g. time recording practices, indirect cost calculations, productive hour’s approaches etc.) it is clear that those changes are not only possible but compulsory.</w:t>
                            </w:r>
                          </w:p>
                          <w:p w14:paraId="4D9839DF" w14:textId="77777777" w:rsidR="00A87AB3" w:rsidRPr="00ED13FE" w:rsidRDefault="00A87AB3" w:rsidP="00CA1389">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F0A50" id="_x0000_s1034" type="#_x0000_t202" style="position:absolute;left:0;text-align:left;margin-left:0;margin-top:111.8pt;width:446.25pt;height:124.5pt;z-index:2517340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" fillcolor="white [3212]" strokecolor="black [3213]">
                <v:textbox>
                  <w:txbxContent>
                    <w:p w14:paraId="7DE26E6A" w14:textId="77777777" w:rsidR="00A87AB3" w:rsidRPr="00ED13FE" w:rsidRDefault="00A87AB3" w:rsidP="00CA1389">
                      <w:pPr>
                        <w:rPr>
                          <w:b/>
                          <w:sz w:val="18"/>
                        </w:rPr>
                      </w:pPr>
                      <w:r w:rsidRPr="00ED13FE">
                        <w:rPr>
                          <w:b/>
                          <w:sz w:val="18"/>
                        </w:rPr>
                        <w:t xml:space="preserve">Example: </w:t>
                      </w:r>
                    </w:p>
                    <w:p w14:paraId="72B2D5DC" w14:textId="77777777" w:rsidR="00A87AB3" w:rsidRPr="00ED13FE" w:rsidRDefault="00A87AB3" w:rsidP="00CA1389">
                      <w:pPr>
                        <w:rPr>
                          <w:sz w:val="18"/>
                        </w:rPr>
                      </w:pPr>
                      <w:r w:rsidRPr="00ED13FE">
                        <w:rPr>
                          <w:sz w:val="18"/>
                        </w:rPr>
                        <w:t xml:space="preserve">If, in the usual accounting principles of the PP and/or project partner, a particular cost is considered as an indirect cost, then it has to be considered also as an indirect cost in the project under the EEA and Norwegian Financial Mechanisms. </w:t>
                      </w:r>
                    </w:p>
                    <w:p w14:paraId="51C354C7" w14:textId="77777777" w:rsidR="00A87AB3" w:rsidRPr="00ED13FE" w:rsidRDefault="00A87AB3" w:rsidP="00CA1389">
                      <w:pPr>
                        <w:rPr>
                          <w:sz w:val="18"/>
                        </w:rPr>
                      </w:pPr>
                      <w:r w:rsidRPr="00ED13FE">
                        <w:rPr>
                          <w:sz w:val="18"/>
                        </w:rPr>
                        <w:t>When the PP and/or project partner needs to introduce changes in order to bring its ‘usual’ accounting practices in line with other provisions of the project contract and the Regulation (e.g. time recording practices, indirect cost calculations, productive hour’s approaches etc.) it is clear that those changes are not only possible but compulsory.</w:t>
                      </w:r>
                    </w:p>
                    <w:p w14:paraId="4D9839DF" w14:textId="77777777" w:rsidR="00A87AB3" w:rsidRPr="00ED13FE" w:rsidRDefault="00A87AB3" w:rsidP="00CA1389">
                      <w:pPr>
                        <w:rPr>
                          <w:sz w:val="18"/>
                        </w:rPr>
                      </w:pPr>
                    </w:p>
                  </w:txbxContent>
                </v:textbox>
                <w10:wrap type="square" anchorx="margin"/>
              </v:shape>
            </w:pict>
          </mc:Fallback>
        </mc:AlternateContent>
      </w:r>
      <w:r w:rsidRPr="009B7F14">
        <w:t>Economy can be understood as minimising the costs of resources used for an activity (input) whilst having regard to the appropriate quality. Efficiency refers to production or delivery of something without wasting materials, time, or energy. Cost effectiveness refers to the degree to which a cost incurred contributes to attaining a specific outcome or goal.</w:t>
      </w:r>
    </w:p>
    <w:p w14:paraId="5C749456" w14:textId="77777777" w:rsidR="00CA1389" w:rsidRPr="009B7F14" w:rsidRDefault="00CA1389" w:rsidP="00920571">
      <w:pPr>
        <w:pStyle w:val="Heading3"/>
      </w:pPr>
      <w:r w:rsidRPr="009B7F14">
        <w:t>Identifiable and verifiable, and properly accounted for</w:t>
      </w:r>
    </w:p>
    <w:p w14:paraId="7F6B9D2D" w14:textId="77777777" w:rsidR="00CA1389" w:rsidRPr="009B7F14" w:rsidRDefault="00CA1389" w:rsidP="00CA1389">
      <w:r w:rsidRPr="009B7F14">
        <w:t>Costs must be identifiable, verifiable and documented (e.g. contract, invoice, purchase order), in particular through being recorded in the accounting records of the PP and/or project partners according to the applicable accounting standards of the country where the PP and/or project partner is established, and according to generally accepted accounting principles.</w:t>
      </w:r>
    </w:p>
    <w:p w14:paraId="5E79C3CD" w14:textId="77777777" w:rsidR="00CA1389" w:rsidRPr="009B7F14" w:rsidRDefault="00CA1389" w:rsidP="00CA1389">
      <w:r w:rsidRPr="009B7F14">
        <w:t xml:space="preserve">Costs which are not identifiable, verifiable and properly accounted for are not eligible. If the PP opts to charge indirect costs using a flat rate these indirect costs do not need to be backed up by supporting evidence. </w:t>
      </w:r>
    </w:p>
    <w:p w14:paraId="00598471" w14:textId="77777777" w:rsidR="00CA1389" w:rsidRPr="009B7F14" w:rsidRDefault="00CA1389" w:rsidP="00920571">
      <w:pPr>
        <w:pStyle w:val="Heading3"/>
      </w:pPr>
      <w:r w:rsidRPr="009B7F14">
        <w:t xml:space="preserve">Comply with the requirements of applicable tax and social security legislation </w:t>
      </w:r>
    </w:p>
    <w:p w14:paraId="053A84EC" w14:textId="77777777" w:rsidR="00CA1389" w:rsidRPr="009B7F14" w:rsidRDefault="00CA1389" w:rsidP="00CA1389">
      <w:r w:rsidRPr="009B7F14">
        <w:t>All relevant legislation on taxes and social legislation shall be complied with, e.g. taxes due under relevant legislation must be paid, and social obligations towards employees, such as severance pay, retirement benefits, minimum wage levels, as stated in the relevant legislation shall be complied with.</w:t>
      </w:r>
    </w:p>
    <w:p w14:paraId="53D453EF" w14:textId="77777777" w:rsidR="00875819" w:rsidRPr="009B7F14" w:rsidRDefault="00893358" w:rsidP="00920571">
      <w:pPr>
        <w:pStyle w:val="Heading2"/>
      </w:pPr>
      <w:bookmarkStart w:id="22" w:name="_Ref465347581"/>
      <w:bookmarkStart w:id="23" w:name="_Toc484174834"/>
      <w:r w:rsidRPr="009B7F14">
        <w:t>Eligible expenditure under the fund for bilateral relations</w:t>
      </w:r>
      <w:bookmarkEnd w:id="22"/>
      <w:bookmarkEnd w:id="23"/>
    </w:p>
    <w:p w14:paraId="1E607478" w14:textId="7502DA63" w:rsidR="00AF054F" w:rsidRPr="009B7F14" w:rsidRDefault="00AF054F" w:rsidP="00AF054F">
      <w:r>
        <w:t xml:space="preserve">The eligibility of expenditures to be covered by the funds for bilateral relations is set out in </w:t>
      </w:r>
      <w:r w:rsidRPr="009B7F14">
        <w:t>Reg. Art. 8.8</w:t>
      </w:r>
      <w:r>
        <w:t xml:space="preserve">. </w:t>
      </w:r>
      <w:r w:rsidRPr="009B7F14">
        <w:t>Furthermore, the general principles of eligibility of expenditure</w:t>
      </w:r>
      <w:r w:rsidR="006D7F46">
        <w:t>s</w:t>
      </w:r>
      <w:r w:rsidRPr="009B7F14">
        <w:t xml:space="preserve"> set out in Reg. Ch. 8 apply </w:t>
      </w:r>
      <w:r w:rsidRPr="009B7F14">
        <w:rPr>
          <w:i/>
        </w:rPr>
        <w:t>mutatis mutandis</w:t>
      </w:r>
      <w:r w:rsidRPr="009B7F14">
        <w:t xml:space="preserve"> to the use of bilateral funds (see sections </w:t>
      </w:r>
      <w:r w:rsidRPr="009B7F14">
        <w:fldChar w:fldCharType="begin"/>
      </w:r>
      <w:r w:rsidRPr="009B7F14">
        <w:instrText xml:space="preserve"> REF _Ref462062513 \r \h  \* MERGEFORMAT </w:instrText>
      </w:r>
      <w:r w:rsidRPr="009B7F14">
        <w:fldChar w:fldCharType="separate"/>
      </w:r>
      <w:r>
        <w:t>2.4</w:t>
      </w:r>
      <w:r w:rsidRPr="009B7F14">
        <w:fldChar w:fldCharType="end"/>
      </w:r>
      <w:r>
        <w:t xml:space="preserve">, </w:t>
      </w:r>
      <w:r w:rsidRPr="009B7F14">
        <w:fldChar w:fldCharType="begin"/>
      </w:r>
      <w:r w:rsidRPr="009B7F14">
        <w:instrText xml:space="preserve"> REF  _Ref462062505 \h \r \w  \* MERGEFORMAT </w:instrText>
      </w:r>
      <w:r w:rsidRPr="009B7F14">
        <w:fldChar w:fldCharType="separate"/>
      </w:r>
      <w:r>
        <w:t>2.6</w:t>
      </w:r>
      <w:r w:rsidRPr="009B7F14">
        <w:fldChar w:fldCharType="end"/>
      </w:r>
      <w:r w:rsidRPr="009B7F14">
        <w:t xml:space="preserve">, </w:t>
      </w:r>
      <w:r w:rsidRPr="009B7F14">
        <w:fldChar w:fldCharType="begin"/>
      </w:r>
      <w:r w:rsidRPr="009B7F14">
        <w:instrText xml:space="preserve"> REF _Ref461535811 \r \h  \* MERGEFORMAT </w:instrText>
      </w:r>
      <w:r w:rsidRPr="009B7F14">
        <w:fldChar w:fldCharType="separate"/>
      </w:r>
      <w:r>
        <w:t>2.7</w:t>
      </w:r>
      <w:r w:rsidRPr="009B7F14">
        <w:fldChar w:fldCharType="end"/>
      </w:r>
      <w:r w:rsidRPr="009B7F14">
        <w:t xml:space="preserve">, </w:t>
      </w:r>
      <w:r w:rsidRPr="009B7F14">
        <w:fldChar w:fldCharType="begin"/>
      </w:r>
      <w:r w:rsidRPr="009B7F14">
        <w:instrText xml:space="preserve"> REF _Ref462062597 \r \h  \* MERGEFORMAT </w:instrText>
      </w:r>
      <w:r w:rsidRPr="009B7F14">
        <w:fldChar w:fldCharType="separate"/>
      </w:r>
      <w:r>
        <w:t>2.8</w:t>
      </w:r>
      <w:r w:rsidRPr="009B7F14">
        <w:fldChar w:fldCharType="end"/>
      </w:r>
      <w:r w:rsidRPr="009B7F14">
        <w:t xml:space="preserve">, </w:t>
      </w:r>
      <w:r w:rsidRPr="009B7F14">
        <w:fldChar w:fldCharType="begin"/>
      </w:r>
      <w:r w:rsidRPr="009B7F14">
        <w:instrText xml:space="preserve"> REF _Ref462062685 \r \h  \* MERGEFORMAT </w:instrText>
      </w:r>
      <w:r w:rsidRPr="009B7F14">
        <w:fldChar w:fldCharType="separate"/>
      </w:r>
      <w:r>
        <w:t>2.9</w:t>
      </w:r>
      <w:r w:rsidRPr="009B7F14">
        <w:fldChar w:fldCharType="end"/>
      </w:r>
      <w:r w:rsidRPr="009B7F14">
        <w:t xml:space="preserve">, </w:t>
      </w:r>
      <w:r w:rsidRPr="009B7F14">
        <w:fldChar w:fldCharType="begin"/>
      </w:r>
      <w:r w:rsidRPr="009B7F14">
        <w:instrText xml:space="preserve"> REF _Ref462062689 \r \h  \* MERGEFORMAT </w:instrText>
      </w:r>
      <w:r w:rsidRPr="009B7F14">
        <w:fldChar w:fldCharType="separate"/>
      </w:r>
      <w:r>
        <w:t>2.10</w:t>
      </w:r>
      <w:r w:rsidRPr="009B7F14">
        <w:fldChar w:fldCharType="end"/>
      </w:r>
      <w:r w:rsidRPr="009B7F14">
        <w:t>).</w:t>
      </w:r>
    </w:p>
    <w:p w14:paraId="13A4CD78" w14:textId="3B746AC7" w:rsidR="008577AC" w:rsidRPr="009B7F14" w:rsidRDefault="001B3CE1" w:rsidP="00376576">
      <w:r w:rsidRPr="009B7F14">
        <w:t>Allocation of bilateral funds to programmes not already made in the MoU shall be made by the Joint Committee for Bilateral Funds (JCBF)</w:t>
      </w:r>
      <w:r w:rsidR="009D12DF" w:rsidRPr="009B7F14">
        <w:t xml:space="preserve">. </w:t>
      </w:r>
      <w:r w:rsidR="00996C56" w:rsidRPr="009B7F14">
        <w:t xml:space="preserve">The bilateral funds are regulated by an Agreement on the Fund for Bilateral </w:t>
      </w:r>
      <w:r w:rsidR="00F27864" w:rsidRPr="009B7F14">
        <w:t>Relation</w:t>
      </w:r>
      <w:r w:rsidR="002C3373" w:rsidRPr="009B7F14">
        <w:t>s</w:t>
      </w:r>
      <w:r w:rsidR="00F27864" w:rsidRPr="009B7F14">
        <w:t xml:space="preserve"> concluded</w:t>
      </w:r>
      <w:r w:rsidR="00F37581">
        <w:t xml:space="preserve"> between the D</w:t>
      </w:r>
      <w:r w:rsidR="00996C56" w:rsidRPr="009B7F14">
        <w:t>onors and the Beneficiary State</w:t>
      </w:r>
      <w:r w:rsidR="00AF0F29" w:rsidRPr="009B7F14">
        <w:t>.</w:t>
      </w:r>
      <w:r w:rsidR="003D30F1" w:rsidRPr="009B7F14">
        <w:t xml:space="preserve"> </w:t>
      </w:r>
      <w:r w:rsidR="00533782" w:rsidRPr="009B7F14">
        <w:t xml:space="preserve"> </w:t>
      </w:r>
      <w:r w:rsidR="00723E54" w:rsidRPr="009B7F14">
        <w:t>A brief description of the implementation</w:t>
      </w:r>
      <w:r w:rsidR="00B310B7">
        <w:t>, major activities to be organised and programmes of bilateral interest</w:t>
      </w:r>
      <w:r w:rsidR="00887253">
        <w:t xml:space="preserve"> </w:t>
      </w:r>
      <w:r w:rsidR="00723E54" w:rsidRPr="009B7F14">
        <w:t>shall be included in the Work Plan.</w:t>
      </w:r>
      <w:r w:rsidR="008577AC" w:rsidRPr="009B7F14">
        <w:t xml:space="preserve"> </w:t>
      </w:r>
      <w:r w:rsidR="00887253">
        <w:t>The Work Plan shall include information on any amounts allocated to programmes, including any amounts allocated in the MoU.</w:t>
      </w:r>
    </w:p>
    <w:p w14:paraId="346B3FAC" w14:textId="41CCAE39" w:rsidR="000C58A8" w:rsidRPr="009B7F14" w:rsidRDefault="000C58A8" w:rsidP="000C58A8">
      <w:r w:rsidRPr="009B7F14">
        <w:t xml:space="preserve">Expenditure related to activities under the </w:t>
      </w:r>
      <w:r w:rsidR="009568B2">
        <w:t>funds for bilateral relations</w:t>
      </w:r>
      <w:r w:rsidRPr="009B7F14">
        <w:t xml:space="preserve"> are eligible from the date of the last signature of the MoU. If a Beneficiary State receives </w:t>
      </w:r>
      <w:r w:rsidR="0045072E" w:rsidRPr="009B7F14">
        <w:t>support</w:t>
      </w:r>
      <w:r w:rsidRPr="009B7F14">
        <w:t xml:space="preserve"> from both the EEA and the Norwegian Financial Mechanisms, the first date of eligibility shall be the date of the last signature of whichever MoU is signed first. The latest date of eligibility of expenditure is 30 April 2025.</w:t>
      </w:r>
    </w:p>
    <w:p w14:paraId="5675767A" w14:textId="07249EA5" w:rsidR="004F2613" w:rsidRDefault="000C58A8" w:rsidP="00376576">
      <w:r w:rsidRPr="009B7F14">
        <w:rPr>
          <w:color w:val="000000"/>
          <w:szCs w:val="20"/>
        </w:rPr>
        <w:t xml:space="preserve">The disbursements of the </w:t>
      </w:r>
      <w:r w:rsidR="00B310B7">
        <w:rPr>
          <w:color w:val="000000"/>
          <w:szCs w:val="20"/>
        </w:rPr>
        <w:t>funds for bilateral relations</w:t>
      </w:r>
      <w:r w:rsidRPr="009B7F14">
        <w:rPr>
          <w:color w:val="000000"/>
          <w:szCs w:val="20"/>
        </w:rPr>
        <w:t xml:space="preserve"> by the FMO shall normally take place after the Bilateral Fund Agreement has been signed. The payments will take the form of an advance</w:t>
      </w:r>
      <w:r w:rsidR="005054FB" w:rsidRPr="009B7F14">
        <w:rPr>
          <w:color w:val="000000"/>
          <w:szCs w:val="20"/>
        </w:rPr>
        <w:t xml:space="preserve"> payment</w:t>
      </w:r>
      <w:r w:rsidRPr="009B7F14">
        <w:rPr>
          <w:color w:val="000000"/>
          <w:szCs w:val="20"/>
        </w:rPr>
        <w:t xml:space="preserve">, interim </w:t>
      </w:r>
      <w:r w:rsidR="005054FB" w:rsidRPr="009B7F14">
        <w:rPr>
          <w:color w:val="000000"/>
          <w:szCs w:val="20"/>
        </w:rPr>
        <w:t xml:space="preserve">payments </w:t>
      </w:r>
      <w:r w:rsidRPr="009B7F14">
        <w:rPr>
          <w:color w:val="000000"/>
          <w:szCs w:val="20"/>
        </w:rPr>
        <w:t xml:space="preserve">and payment of the final balance. </w:t>
      </w:r>
      <w:r w:rsidR="008577AC" w:rsidRPr="009B7F14">
        <w:t xml:space="preserve">The NFP shall be responsible for the use, timely disbursement, and reporting under the </w:t>
      </w:r>
      <w:r w:rsidR="009568B2">
        <w:t>fund for bilateral relations</w:t>
      </w:r>
      <w:r w:rsidR="008577AC" w:rsidRPr="009B7F14">
        <w:t xml:space="preserve">. </w:t>
      </w:r>
    </w:p>
    <w:p w14:paraId="1176837A" w14:textId="734F1416" w:rsidR="00533782" w:rsidRDefault="008577AC" w:rsidP="00376576">
      <w:r w:rsidRPr="009B7F14">
        <w:t xml:space="preserve">The CA shall certify </w:t>
      </w:r>
      <w:r w:rsidR="001B56CF">
        <w:t xml:space="preserve">all </w:t>
      </w:r>
      <w:r w:rsidRPr="009B7F14">
        <w:t>expenditure incurred</w:t>
      </w:r>
      <w:r w:rsidR="001B56CF">
        <w:t xml:space="preserve"> under the fund for bilateral relations, and shall verify expenditure incurred</w:t>
      </w:r>
      <w:r w:rsidRPr="009B7F14">
        <w:t xml:space="preserve"> directly by the NFP</w:t>
      </w:r>
      <w:r w:rsidR="001B56CF">
        <w:t>.</w:t>
      </w:r>
      <w:r w:rsidRPr="009B7F14">
        <w:t xml:space="preserve"> The NFP is responsible for the verification of eligibility of </w:t>
      </w:r>
      <w:r w:rsidR="001B56CF">
        <w:t xml:space="preserve">all other </w:t>
      </w:r>
      <w:r w:rsidRPr="009B7F14">
        <w:t>expenditure</w:t>
      </w:r>
      <w:r w:rsidR="001B56CF">
        <w:t>s</w:t>
      </w:r>
      <w:r w:rsidRPr="009B7F14">
        <w:t xml:space="preserve">. Where allocated to programmes, the eligibility of expenditure incurred in relation to the implementation of the </w:t>
      </w:r>
      <w:r w:rsidR="005054FB" w:rsidRPr="009B7F14">
        <w:t>bilateral activities</w:t>
      </w:r>
      <w:r w:rsidRPr="009B7F14">
        <w:t xml:space="preserve"> shall be verified</w:t>
      </w:r>
      <w:r w:rsidR="009C6D61" w:rsidRPr="009B7F14">
        <w:t xml:space="preserve"> by the NFP/</w:t>
      </w:r>
      <w:r w:rsidR="00181727" w:rsidRPr="009B7F14">
        <w:t>PO in line with the management and control systems description</w:t>
      </w:r>
      <w:r w:rsidR="001B56CF">
        <w:t>.</w:t>
      </w:r>
      <w:r w:rsidRPr="009B7F14">
        <w:t xml:space="preserve"> Furthermore, </w:t>
      </w:r>
      <w:r w:rsidR="00032258" w:rsidRPr="009B7F14">
        <w:t xml:space="preserve">the </w:t>
      </w:r>
      <w:r w:rsidRPr="009B7F14">
        <w:t>forecast of likely payment applications shall follow the same rules as for regular programmes (Reg. Art. 9.5)</w:t>
      </w:r>
      <w:r w:rsidR="003724DF">
        <w:t>.</w:t>
      </w:r>
    </w:p>
    <w:p w14:paraId="7E168AB5" w14:textId="059DB51B" w:rsidR="003724DF" w:rsidRPr="000F2A10" w:rsidRDefault="003724DF" w:rsidP="003724DF">
      <w:r w:rsidRPr="000F2A10">
        <w:t xml:space="preserve">Costs incurred by the NFP related to the preparation, evaluation, financial flow and monitoring of the fund for bilateral relations may be eligible costs for </w:t>
      </w:r>
      <w:r w:rsidR="00B310B7" w:rsidRPr="000F2A10">
        <w:t>TA</w:t>
      </w:r>
      <w:r w:rsidRPr="000F2A10">
        <w:t xml:space="preserve"> provided that the expenditure is proportionate and necessary (Regulations Art. 8.11.2 (a)). For the PO, expenditure related to the strengthening of bilateral relations are eligible as programme management costs provided that the expenditure is proportionate and necessary (Regulations Art. 8.10.4. (</w:t>
      </w:r>
      <w:proofErr w:type="gramStart"/>
      <w:r w:rsidRPr="000F2A10">
        <w:t>m</w:t>
      </w:r>
      <w:proofErr w:type="gramEnd"/>
      <w:r w:rsidRPr="000F2A10">
        <w:t xml:space="preserve">)). </w:t>
      </w:r>
    </w:p>
    <w:p w14:paraId="29D1BB15" w14:textId="27D72FF7" w:rsidR="003724DF" w:rsidRPr="000F2A10" w:rsidRDefault="003724DF" w:rsidP="003724DF">
      <w:pPr>
        <w:rPr>
          <w:szCs w:val="20"/>
        </w:rPr>
      </w:pPr>
      <w:r w:rsidRPr="000F2A10">
        <w:t>As activities to strengthen bilateral relations can be supported under both programme management costs and the fund for bilateral relations, the most appropriate funding source needs to be assessed on a case-by-case basis, depending on the national context and the size of the grants and various funds. The flexibility built into the Regulations is meant to make sure that good activities to strengthen bilateral relations are not hampered by lack of funding possibilities and that funding is available at an early stage.</w:t>
      </w:r>
    </w:p>
    <w:p w14:paraId="0A9E9892" w14:textId="19B94199" w:rsidR="000C58A8" w:rsidRDefault="000C58A8" w:rsidP="000C58A8">
      <w:r w:rsidRPr="009B7F14">
        <w:t xml:space="preserve">For the purpose of covering expenditure of the activities referred to Reg. Art. 8.8 during the development of programmes, the </w:t>
      </w:r>
      <w:r w:rsidR="00D10D3D" w:rsidRPr="009B7F14">
        <w:t>FMO</w:t>
      </w:r>
      <w:r w:rsidRPr="009B7F14">
        <w:t xml:space="preserve"> can make an advance payment directly to the POs not exceeding €</w:t>
      </w:r>
      <w:r w:rsidR="00EF3B6D">
        <w:t xml:space="preserve"> </w:t>
      </w:r>
      <w:r w:rsidRPr="009B7F14">
        <w:t>50</w:t>
      </w:r>
      <w:r w:rsidR="007A1507">
        <w:t>,</w:t>
      </w:r>
      <w:r w:rsidRPr="009B7F14">
        <w:t>000. Such payment shall be made in agreement with the NFP, following the designation of the PO</w:t>
      </w:r>
      <w:r w:rsidRPr="009B7F14">
        <w:rPr>
          <w:rStyle w:val="FootnoteReference"/>
        </w:rPr>
        <w:footnoteReference w:id="6"/>
      </w:r>
      <w:r w:rsidRPr="009B7F14">
        <w:t>.</w:t>
      </w:r>
    </w:p>
    <w:p w14:paraId="014FC3D4" w14:textId="1AA309FE" w:rsidR="00723E54" w:rsidRPr="009B7F14" w:rsidRDefault="001B56CF" w:rsidP="00376576">
      <w:r w:rsidRPr="009B7F14">
        <w:rPr>
          <w:noProof/>
          <w:lang w:eastAsia="en-GB"/>
        </w:rPr>
        <mc:AlternateContent>
          <mc:Choice Requires="wps">
            <w:drawing>
              <wp:anchor distT="0" distB="0" distL="114300" distR="114300" simplePos="0" relativeHeight="251785216" behindDoc="0" locked="0" layoutInCell="1" allowOverlap="1" wp14:anchorId="7E9F9536" wp14:editId="7EEB46A8">
                <wp:simplePos x="0" y="0"/>
                <wp:positionH relativeFrom="margin">
                  <wp:posOffset>-17780</wp:posOffset>
                </wp:positionH>
                <wp:positionV relativeFrom="paragraph">
                  <wp:posOffset>1099820</wp:posOffset>
                </wp:positionV>
                <wp:extent cx="5769610" cy="3295015"/>
                <wp:effectExtent l="0" t="0" r="21590" b="438785"/>
                <wp:wrapSquare wrapText="bothSides"/>
                <wp:docPr id="14" name="Rounded Rectangular Callout 14"/>
                <wp:cNvGraphicFramePr/>
                <a:graphic xmlns:a="http://schemas.openxmlformats.org/drawingml/2006/main">
                  <a:graphicData uri="http://schemas.microsoft.com/office/word/2010/wordprocessingShape">
                    <wps:wsp>
                      <wps:cNvSpPr/>
                      <wps:spPr>
                        <a:xfrm>
                          <a:off x="0" y="0"/>
                          <a:ext cx="5769610" cy="3295015"/>
                        </a:xfrm>
                        <a:prstGeom prst="wedgeRoundRectCallout">
                          <a:avLst/>
                        </a:prstGeom>
                      </wps:spPr>
                      <wps:style>
                        <a:lnRef idx="2">
                          <a:schemeClr val="dk1"/>
                        </a:lnRef>
                        <a:fillRef idx="1">
                          <a:schemeClr val="lt1"/>
                        </a:fillRef>
                        <a:effectRef idx="0">
                          <a:schemeClr val="dk1"/>
                        </a:effectRef>
                        <a:fontRef idx="minor">
                          <a:schemeClr val="dk1"/>
                        </a:fontRef>
                      </wps:style>
                      <wps:txbx>
                        <w:txbxContent>
                          <w:p w14:paraId="4D13B3A7" w14:textId="1E49995A" w:rsidR="00A87AB3" w:rsidRPr="000F2A10" w:rsidRDefault="00A87AB3" w:rsidP="001B56CF">
                            <w:pPr>
                              <w:jc w:val="left"/>
                              <w:rPr>
                                <w:b/>
                                <w:color w:val="4472C4" w:themeColor="accent5"/>
                                <w:sz w:val="18"/>
                              </w:rPr>
                            </w:pPr>
                            <w:r w:rsidRPr="000F2A10">
                              <w:rPr>
                                <w:b/>
                                <w:color w:val="4472C4" w:themeColor="accent5"/>
                                <w:sz w:val="18"/>
                              </w:rPr>
                              <w:t>Incurred expenditure under the fund for bilateral relations</w:t>
                            </w:r>
                          </w:p>
                          <w:p w14:paraId="45BCBB2D" w14:textId="77777777" w:rsidR="00A87AB3" w:rsidRPr="001B56CF" w:rsidRDefault="00A87AB3" w:rsidP="001B56CF">
                            <w:pPr>
                              <w:jc w:val="left"/>
                              <w:rPr>
                                <w:color w:val="4472C4" w:themeColor="accent5"/>
                                <w:sz w:val="18"/>
                              </w:rPr>
                            </w:pPr>
                            <w:r w:rsidRPr="001B56CF">
                              <w:rPr>
                                <w:color w:val="4472C4" w:themeColor="accent5"/>
                                <w:sz w:val="18"/>
                              </w:rPr>
                              <w:t>In the context of IFRs and the Final Balance reporting to the FMO, the following shall be reported as incurred expenditure:</w:t>
                            </w:r>
                          </w:p>
                          <w:p w14:paraId="74658888" w14:textId="79F85BC1" w:rsidR="00A87AB3" w:rsidRPr="00E84C25" w:rsidRDefault="00A87AB3" w:rsidP="001B56CF">
                            <w:pPr>
                              <w:jc w:val="left"/>
                              <w:rPr>
                                <w:color w:val="4472C4" w:themeColor="accent5"/>
                                <w:sz w:val="18"/>
                                <w:u w:val="single"/>
                              </w:rPr>
                            </w:pPr>
                            <w:r w:rsidRPr="00E84C25">
                              <w:rPr>
                                <w:color w:val="4472C4" w:themeColor="accent5"/>
                                <w:sz w:val="18"/>
                                <w:u w:val="single"/>
                              </w:rPr>
                              <w:t>Funds managed by the N</w:t>
                            </w:r>
                            <w:r>
                              <w:rPr>
                                <w:color w:val="4472C4" w:themeColor="accent5"/>
                                <w:sz w:val="18"/>
                                <w:u w:val="single"/>
                              </w:rPr>
                              <w:t>FP</w:t>
                            </w:r>
                            <w:r w:rsidRPr="00E84C25">
                              <w:rPr>
                                <w:color w:val="4472C4" w:themeColor="accent5"/>
                                <w:sz w:val="18"/>
                                <w:u w:val="single"/>
                              </w:rPr>
                              <w:t>:</w:t>
                            </w:r>
                          </w:p>
                          <w:p w14:paraId="7633CBC7" w14:textId="47F86DEE" w:rsidR="00A87AB3" w:rsidRPr="001B56CF" w:rsidRDefault="00A87AB3" w:rsidP="001B56CF">
                            <w:pPr>
                              <w:jc w:val="left"/>
                              <w:rPr>
                                <w:color w:val="4472C4" w:themeColor="accent5"/>
                                <w:sz w:val="18"/>
                              </w:rPr>
                            </w:pPr>
                            <w:r>
                              <w:rPr>
                                <w:color w:val="4472C4" w:themeColor="accent5"/>
                                <w:sz w:val="18"/>
                              </w:rPr>
                              <w:t xml:space="preserve">• </w:t>
                            </w:r>
                            <w:r w:rsidRPr="001B56CF">
                              <w:rPr>
                                <w:color w:val="4472C4" w:themeColor="accent5"/>
                                <w:sz w:val="18"/>
                              </w:rPr>
                              <w:t>When the NFP is the beneficiary of the funds: actual incurred expenditure by the NFP is reported.</w:t>
                            </w:r>
                          </w:p>
                          <w:p w14:paraId="3C1D9398" w14:textId="6D583ED3" w:rsidR="00A87AB3" w:rsidRPr="001B56CF" w:rsidRDefault="00A87AB3" w:rsidP="001B56CF">
                            <w:pPr>
                              <w:jc w:val="left"/>
                              <w:rPr>
                                <w:color w:val="4472C4" w:themeColor="accent5"/>
                                <w:sz w:val="18"/>
                              </w:rPr>
                            </w:pPr>
                            <w:r>
                              <w:rPr>
                                <w:color w:val="4472C4" w:themeColor="accent5"/>
                                <w:sz w:val="18"/>
                              </w:rPr>
                              <w:t xml:space="preserve">• </w:t>
                            </w:r>
                            <w:r w:rsidRPr="001B56CF">
                              <w:rPr>
                                <w:color w:val="4472C4" w:themeColor="accent5"/>
                                <w:sz w:val="18"/>
                              </w:rPr>
                              <w:t>Other bilateral initiatives granted by the NFP, e.g. selected through calls for proposals or pre-defined bilateral initiatives; the payments by the NFP to the promoters shall be reported as incurred.</w:t>
                            </w:r>
                          </w:p>
                          <w:p w14:paraId="55B40343" w14:textId="7ABF3C2B" w:rsidR="00A87AB3" w:rsidRPr="00E84C25" w:rsidRDefault="00A87AB3" w:rsidP="001B56CF">
                            <w:pPr>
                              <w:jc w:val="left"/>
                              <w:rPr>
                                <w:color w:val="4472C4" w:themeColor="accent5"/>
                                <w:sz w:val="18"/>
                                <w:u w:val="single"/>
                              </w:rPr>
                            </w:pPr>
                            <w:r w:rsidRPr="00E84C25">
                              <w:rPr>
                                <w:color w:val="4472C4" w:themeColor="accent5"/>
                                <w:sz w:val="18"/>
                                <w:u w:val="single"/>
                              </w:rPr>
                              <w:t>Funds managed by the P</w:t>
                            </w:r>
                            <w:r>
                              <w:rPr>
                                <w:color w:val="4472C4" w:themeColor="accent5"/>
                                <w:sz w:val="18"/>
                                <w:u w:val="single"/>
                              </w:rPr>
                              <w:t>O</w:t>
                            </w:r>
                            <w:r w:rsidRPr="00E84C25">
                              <w:rPr>
                                <w:color w:val="4472C4" w:themeColor="accent5"/>
                                <w:sz w:val="18"/>
                                <w:u w:val="single"/>
                              </w:rPr>
                              <w:t>:</w:t>
                            </w:r>
                          </w:p>
                          <w:p w14:paraId="75EE0165" w14:textId="57090F61" w:rsidR="00A87AB3" w:rsidRPr="001B56CF" w:rsidRDefault="00A87AB3" w:rsidP="001B56CF">
                            <w:pPr>
                              <w:jc w:val="left"/>
                              <w:rPr>
                                <w:color w:val="4472C4" w:themeColor="accent5"/>
                                <w:sz w:val="18"/>
                              </w:rPr>
                            </w:pPr>
                            <w:r>
                              <w:rPr>
                                <w:color w:val="4472C4" w:themeColor="accent5"/>
                                <w:sz w:val="18"/>
                              </w:rPr>
                              <w:t xml:space="preserve">• </w:t>
                            </w:r>
                            <w:r w:rsidRPr="001B56CF">
                              <w:rPr>
                                <w:color w:val="4472C4" w:themeColor="accent5"/>
                                <w:sz w:val="18"/>
                              </w:rPr>
                              <w:t>When the PO is the beneficiary of the funds: actual incurred expenditure by the PO.</w:t>
                            </w:r>
                          </w:p>
                          <w:p w14:paraId="6D778C2D" w14:textId="3B2117BB" w:rsidR="00A87AB3" w:rsidRPr="00ED13FE" w:rsidRDefault="00A87AB3" w:rsidP="001B56CF">
                            <w:pPr>
                              <w:jc w:val="left"/>
                              <w:rPr>
                                <w:color w:val="4472C4" w:themeColor="accent5"/>
                                <w:sz w:val="18"/>
                              </w:rPr>
                            </w:pPr>
                            <w:r>
                              <w:rPr>
                                <w:color w:val="4472C4" w:themeColor="accent5"/>
                                <w:sz w:val="18"/>
                              </w:rPr>
                              <w:t xml:space="preserve">• </w:t>
                            </w:r>
                            <w:r w:rsidRPr="001B56CF">
                              <w:rPr>
                                <w:color w:val="4472C4" w:themeColor="accent5"/>
                                <w:sz w:val="18"/>
                              </w:rPr>
                              <w:t>Other bilateral initiatives granted by the PO, e.g. selected through calls for proposals or pre-defined bilateral initiatives; the payments by the PO to the promoters shall be reported as incurred.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F9536" id="Rounded Rectangular Callout 14" o:spid="_x0000_s1035" type="#_x0000_t62" style="position:absolute;left:0;text-align:left;margin-left:-1.4pt;margin-top:86.6pt;width:454.3pt;height:259.4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" adj="6300,24300" fillcolor="white [3201]" strokecolor="black [3200]" strokeweight="1pt">
                <v:textbox>
                  <w:txbxContent>
                    <w:p w14:paraId="4D13B3A7" w14:textId="1E49995A" w:rsidR="00A87AB3" w:rsidRPr="000F2A10" w:rsidRDefault="00A87AB3" w:rsidP="001B56CF">
                      <w:pPr>
                        <w:jc w:val="left"/>
                        <w:rPr>
                          <w:b/>
                          <w:color w:val="4472C4" w:themeColor="accent5"/>
                          <w:sz w:val="18"/>
                        </w:rPr>
                      </w:pPr>
                      <w:r w:rsidRPr="000F2A10">
                        <w:rPr>
                          <w:b/>
                          <w:color w:val="4472C4" w:themeColor="accent5"/>
                          <w:sz w:val="18"/>
                        </w:rPr>
                        <w:t>Incurred expenditure under the fund for bilateral relations</w:t>
                      </w:r>
                    </w:p>
                    <w:p w14:paraId="45BCBB2D" w14:textId="77777777" w:rsidR="00A87AB3" w:rsidRPr="001B56CF" w:rsidRDefault="00A87AB3" w:rsidP="001B56CF">
                      <w:pPr>
                        <w:jc w:val="left"/>
                        <w:rPr>
                          <w:color w:val="4472C4" w:themeColor="accent5"/>
                          <w:sz w:val="18"/>
                        </w:rPr>
                      </w:pPr>
                      <w:r w:rsidRPr="001B56CF">
                        <w:rPr>
                          <w:color w:val="4472C4" w:themeColor="accent5"/>
                          <w:sz w:val="18"/>
                        </w:rPr>
                        <w:t>In the context of IFRs and the Final Balance reporting to the FMO, the following shall be reported as incurred expenditure:</w:t>
                      </w:r>
                    </w:p>
                    <w:p w14:paraId="74658888" w14:textId="79F85BC1" w:rsidR="00A87AB3" w:rsidRPr="00E84C25" w:rsidRDefault="00A87AB3" w:rsidP="001B56CF">
                      <w:pPr>
                        <w:jc w:val="left"/>
                        <w:rPr>
                          <w:color w:val="4472C4" w:themeColor="accent5"/>
                          <w:sz w:val="18"/>
                          <w:u w:val="single"/>
                        </w:rPr>
                      </w:pPr>
                      <w:r w:rsidRPr="00E84C25">
                        <w:rPr>
                          <w:color w:val="4472C4" w:themeColor="accent5"/>
                          <w:sz w:val="18"/>
                          <w:u w:val="single"/>
                        </w:rPr>
                        <w:t>Funds managed by the N</w:t>
                      </w:r>
                      <w:r>
                        <w:rPr>
                          <w:color w:val="4472C4" w:themeColor="accent5"/>
                          <w:sz w:val="18"/>
                          <w:u w:val="single"/>
                        </w:rPr>
                        <w:t>FP</w:t>
                      </w:r>
                      <w:r w:rsidRPr="00E84C25">
                        <w:rPr>
                          <w:color w:val="4472C4" w:themeColor="accent5"/>
                          <w:sz w:val="18"/>
                          <w:u w:val="single"/>
                        </w:rPr>
                        <w:t>:</w:t>
                      </w:r>
                    </w:p>
                    <w:p w14:paraId="7633CBC7" w14:textId="47F86DEE" w:rsidR="00A87AB3" w:rsidRPr="001B56CF" w:rsidRDefault="00A87AB3" w:rsidP="001B56CF">
                      <w:pPr>
                        <w:jc w:val="left"/>
                        <w:rPr>
                          <w:color w:val="4472C4" w:themeColor="accent5"/>
                          <w:sz w:val="18"/>
                        </w:rPr>
                      </w:pPr>
                      <w:r>
                        <w:rPr>
                          <w:color w:val="4472C4" w:themeColor="accent5"/>
                          <w:sz w:val="18"/>
                        </w:rPr>
                        <w:t xml:space="preserve">• </w:t>
                      </w:r>
                      <w:r w:rsidRPr="001B56CF">
                        <w:rPr>
                          <w:color w:val="4472C4" w:themeColor="accent5"/>
                          <w:sz w:val="18"/>
                        </w:rPr>
                        <w:t>When the NFP is the beneficiary of the funds: actual incurred expenditure by the NFP is reported.</w:t>
                      </w:r>
                    </w:p>
                    <w:p w14:paraId="3C1D9398" w14:textId="6D583ED3" w:rsidR="00A87AB3" w:rsidRPr="001B56CF" w:rsidRDefault="00A87AB3" w:rsidP="001B56CF">
                      <w:pPr>
                        <w:jc w:val="left"/>
                        <w:rPr>
                          <w:color w:val="4472C4" w:themeColor="accent5"/>
                          <w:sz w:val="18"/>
                        </w:rPr>
                      </w:pPr>
                      <w:r>
                        <w:rPr>
                          <w:color w:val="4472C4" w:themeColor="accent5"/>
                          <w:sz w:val="18"/>
                        </w:rPr>
                        <w:t xml:space="preserve">• </w:t>
                      </w:r>
                      <w:r w:rsidRPr="001B56CF">
                        <w:rPr>
                          <w:color w:val="4472C4" w:themeColor="accent5"/>
                          <w:sz w:val="18"/>
                        </w:rPr>
                        <w:t>Other bilateral initiatives granted by the NFP, e.g. selected through calls for proposals or pre-defined bilateral initiatives; the payments by the NFP to the promoters shall be reported as incurred.</w:t>
                      </w:r>
                    </w:p>
                    <w:p w14:paraId="55B40343" w14:textId="7ABF3C2B" w:rsidR="00A87AB3" w:rsidRPr="00E84C25" w:rsidRDefault="00A87AB3" w:rsidP="001B56CF">
                      <w:pPr>
                        <w:jc w:val="left"/>
                        <w:rPr>
                          <w:color w:val="4472C4" w:themeColor="accent5"/>
                          <w:sz w:val="18"/>
                          <w:u w:val="single"/>
                        </w:rPr>
                      </w:pPr>
                      <w:r w:rsidRPr="00E84C25">
                        <w:rPr>
                          <w:color w:val="4472C4" w:themeColor="accent5"/>
                          <w:sz w:val="18"/>
                          <w:u w:val="single"/>
                        </w:rPr>
                        <w:t>Funds managed by the P</w:t>
                      </w:r>
                      <w:r>
                        <w:rPr>
                          <w:color w:val="4472C4" w:themeColor="accent5"/>
                          <w:sz w:val="18"/>
                          <w:u w:val="single"/>
                        </w:rPr>
                        <w:t>O</w:t>
                      </w:r>
                      <w:r w:rsidRPr="00E84C25">
                        <w:rPr>
                          <w:color w:val="4472C4" w:themeColor="accent5"/>
                          <w:sz w:val="18"/>
                          <w:u w:val="single"/>
                        </w:rPr>
                        <w:t>:</w:t>
                      </w:r>
                    </w:p>
                    <w:p w14:paraId="75EE0165" w14:textId="57090F61" w:rsidR="00A87AB3" w:rsidRPr="001B56CF" w:rsidRDefault="00A87AB3" w:rsidP="001B56CF">
                      <w:pPr>
                        <w:jc w:val="left"/>
                        <w:rPr>
                          <w:color w:val="4472C4" w:themeColor="accent5"/>
                          <w:sz w:val="18"/>
                        </w:rPr>
                      </w:pPr>
                      <w:r>
                        <w:rPr>
                          <w:color w:val="4472C4" w:themeColor="accent5"/>
                          <w:sz w:val="18"/>
                        </w:rPr>
                        <w:t xml:space="preserve">• </w:t>
                      </w:r>
                      <w:r w:rsidRPr="001B56CF">
                        <w:rPr>
                          <w:color w:val="4472C4" w:themeColor="accent5"/>
                          <w:sz w:val="18"/>
                        </w:rPr>
                        <w:t>When the PO is the beneficiary of the funds: actual incurred expenditure by the PO.</w:t>
                      </w:r>
                    </w:p>
                    <w:p w14:paraId="6D778C2D" w14:textId="3B2117BB" w:rsidR="00A87AB3" w:rsidRPr="00ED13FE" w:rsidRDefault="00A87AB3" w:rsidP="001B56CF">
                      <w:pPr>
                        <w:jc w:val="left"/>
                        <w:rPr>
                          <w:color w:val="4472C4" w:themeColor="accent5"/>
                          <w:sz w:val="18"/>
                        </w:rPr>
                      </w:pPr>
                      <w:r>
                        <w:rPr>
                          <w:color w:val="4472C4" w:themeColor="accent5"/>
                          <w:sz w:val="18"/>
                        </w:rPr>
                        <w:t xml:space="preserve">• </w:t>
                      </w:r>
                      <w:r w:rsidRPr="001B56CF">
                        <w:rPr>
                          <w:color w:val="4472C4" w:themeColor="accent5"/>
                          <w:sz w:val="18"/>
                        </w:rPr>
                        <w:t>Other bilateral initiatives granted by the PO, e.g. selected through calls for proposals or pre-defined bilateral initiatives; the payments by the PO to the promoters shall be reported as incurred.</w:t>
                      </w:r>
                    </w:p>
                  </w:txbxContent>
                </v:textbox>
                <w10:wrap type="square" anchorx="margin"/>
              </v:shape>
            </w:pict>
          </mc:Fallback>
        </mc:AlternateContent>
      </w:r>
      <w:r w:rsidR="00723E54" w:rsidRPr="009B7F14">
        <w:t xml:space="preserve">The </w:t>
      </w:r>
      <w:r w:rsidR="007059C0">
        <w:t>m</w:t>
      </w:r>
      <w:r w:rsidR="00723E54" w:rsidRPr="009B7F14">
        <w:t xml:space="preserve">anagement and </w:t>
      </w:r>
      <w:r w:rsidR="007059C0">
        <w:t>c</w:t>
      </w:r>
      <w:r w:rsidR="00723E54" w:rsidRPr="009B7F14">
        <w:t xml:space="preserve">ontrol systems </w:t>
      </w:r>
      <w:r w:rsidR="002A3E97" w:rsidRPr="009B7F14">
        <w:t xml:space="preserve">on national level </w:t>
      </w:r>
      <w:r w:rsidR="00723E54" w:rsidRPr="009B7F14">
        <w:t xml:space="preserve">shall </w:t>
      </w:r>
      <w:r w:rsidR="0045681F" w:rsidRPr="009B7F14">
        <w:t>clearly describe</w:t>
      </w:r>
      <w:r w:rsidR="00723E54" w:rsidRPr="009B7F14">
        <w:t xml:space="preserve"> the management s</w:t>
      </w:r>
      <w:r w:rsidR="0045681F" w:rsidRPr="009B7F14">
        <w:t>et-up</w:t>
      </w:r>
      <w:r w:rsidR="00723E54" w:rsidRPr="009B7F14">
        <w:t xml:space="preserve"> of the </w:t>
      </w:r>
      <w:r w:rsidR="00E049CF">
        <w:t>fund for bilateral relations</w:t>
      </w:r>
      <w:r w:rsidR="0045681F" w:rsidRPr="009B7F14">
        <w:t xml:space="preserve">, </w:t>
      </w:r>
      <w:r w:rsidR="00B42823" w:rsidRPr="009B7F14">
        <w:t>i.e.</w:t>
      </w:r>
      <w:r w:rsidR="0045681F" w:rsidRPr="009B7F14">
        <w:t xml:space="preserve"> </w:t>
      </w:r>
      <w:r w:rsidR="00181727" w:rsidRPr="009B7F14">
        <w:t>verification</w:t>
      </w:r>
      <w:r w:rsidR="00B42823" w:rsidRPr="009B7F14">
        <w:t xml:space="preserve"> of expenditure incurred,</w:t>
      </w:r>
      <w:r w:rsidR="009C6D61" w:rsidRPr="009B7F14">
        <w:t xml:space="preserve"> the entity responsible for verifications</w:t>
      </w:r>
      <w:r w:rsidR="00B42823" w:rsidRPr="009B7F14">
        <w:t>,</w:t>
      </w:r>
      <w:r w:rsidR="0063667F" w:rsidRPr="009B7F14">
        <w:t xml:space="preserve"> and</w:t>
      </w:r>
      <w:r w:rsidR="00181727" w:rsidRPr="009B7F14">
        <w:t xml:space="preserve"> </w:t>
      </w:r>
      <w:r w:rsidR="0045681F" w:rsidRPr="009B7F14">
        <w:t>a clear description of the</w:t>
      </w:r>
      <w:r w:rsidR="00723E54" w:rsidRPr="009B7F14">
        <w:t xml:space="preserve"> </w:t>
      </w:r>
      <w:r w:rsidR="0045681F" w:rsidRPr="009B7F14">
        <w:t>key functions and operations where appropriate</w:t>
      </w:r>
      <w:r w:rsidR="00B42823" w:rsidRPr="009B7F14">
        <w:t xml:space="preserve"> including the role of the NFP as responsible for the use of the funds (Reg. Art. 4.6.2)</w:t>
      </w:r>
      <w:r w:rsidR="0045681F" w:rsidRPr="009B7F14">
        <w:t>.</w:t>
      </w:r>
      <w:r w:rsidR="009D12DF" w:rsidRPr="009B7F14">
        <w:t xml:space="preserve"> The set-up and requirements of the MCS on national</w:t>
      </w:r>
      <w:r w:rsidR="00D10D3D" w:rsidRPr="009B7F14">
        <w:t xml:space="preserve"> level are</w:t>
      </w:r>
      <w:r w:rsidR="009D12DF" w:rsidRPr="009B7F14">
        <w:t xml:space="preserve"> described in more detail in section</w:t>
      </w:r>
      <w:r w:rsidR="0063667F" w:rsidRPr="009B7F14">
        <w:t xml:space="preserve"> </w:t>
      </w:r>
      <w:r w:rsidR="009D12DF" w:rsidRPr="009B7F14">
        <w:fldChar w:fldCharType="begin"/>
      </w:r>
      <w:r w:rsidR="009D12DF" w:rsidRPr="009B7F14">
        <w:instrText xml:space="preserve"> REF _Ref462389994 \r \h </w:instrText>
      </w:r>
      <w:r w:rsidR="009B7F14">
        <w:instrText xml:space="preserve"> \* MERGEFORMAT </w:instrText>
      </w:r>
      <w:r w:rsidR="009D12DF" w:rsidRPr="009B7F14">
        <w:fldChar w:fldCharType="separate"/>
      </w:r>
      <w:r w:rsidR="00215E29">
        <w:t>2.11</w:t>
      </w:r>
      <w:r w:rsidR="009D12DF" w:rsidRPr="009B7F14">
        <w:fldChar w:fldCharType="end"/>
      </w:r>
      <w:r w:rsidR="009D12DF" w:rsidRPr="009B7F14">
        <w:t>.</w:t>
      </w:r>
    </w:p>
    <w:p w14:paraId="6C1844A0" w14:textId="3C4133F9" w:rsidR="00BA7549" w:rsidRPr="009B7F14" w:rsidRDefault="00E015D2" w:rsidP="00376576">
      <w:r w:rsidRPr="009B7F14">
        <w:t>Where allocated to programmes</w:t>
      </w:r>
      <w:r w:rsidR="00533782" w:rsidRPr="009B7F14">
        <w:t xml:space="preserve">, </w:t>
      </w:r>
      <w:r w:rsidRPr="009B7F14">
        <w:t>funds for bilateral relations</w:t>
      </w:r>
      <w:r w:rsidR="00533782" w:rsidRPr="009B7F14">
        <w:t xml:space="preserve"> shall be managed by the relevant </w:t>
      </w:r>
      <w:r w:rsidR="003134A1" w:rsidRPr="009B7F14">
        <w:t>PO</w:t>
      </w:r>
      <w:r w:rsidR="00840B80" w:rsidRPr="009B7F14">
        <w:t>, in consultation with the DPP(s) where relevant</w:t>
      </w:r>
      <w:r w:rsidRPr="009B7F14">
        <w:t>.</w:t>
      </w:r>
      <w:r w:rsidR="00772D8A">
        <w:t xml:space="preserve"> </w:t>
      </w:r>
      <w:r w:rsidR="00772D8A" w:rsidRPr="0078404B">
        <w:t>Decisions o</w:t>
      </w:r>
      <w:r w:rsidR="00772D8A">
        <w:t>n the management and use of funds for bilateral relations</w:t>
      </w:r>
      <w:r w:rsidR="00772D8A" w:rsidRPr="0078404B">
        <w:t xml:space="preserve"> allocated to programmes implemented in cooperation with </w:t>
      </w:r>
      <w:r w:rsidR="00772D8A">
        <w:t>DPPs</w:t>
      </w:r>
      <w:r w:rsidR="00772D8A" w:rsidRPr="0078404B">
        <w:t xml:space="preserve"> shall be </w:t>
      </w:r>
      <w:r w:rsidR="00772D8A">
        <w:t>made</w:t>
      </w:r>
      <w:r w:rsidR="00772D8A" w:rsidRPr="0078404B">
        <w:t xml:space="preserve"> by consensus between the </w:t>
      </w:r>
      <w:r w:rsidR="00772D8A">
        <w:t>PO and the</w:t>
      </w:r>
      <w:r w:rsidR="00772D8A" w:rsidRPr="0078404B">
        <w:t xml:space="preserve"> </w:t>
      </w:r>
      <w:r w:rsidR="00772D8A">
        <w:t>DPP(s) in the Cooperation Committee</w:t>
      </w:r>
      <w:r w:rsidR="00772D8A" w:rsidRPr="00EE374E">
        <w:t>.</w:t>
      </w:r>
      <w:r w:rsidR="00295C85" w:rsidRPr="009B7F14">
        <w:t xml:space="preserve"> </w:t>
      </w:r>
      <w:r w:rsidR="00BA7549" w:rsidRPr="009B7F14">
        <w:t xml:space="preserve">Any management costs incurred by the PO (e.g. open calls, </w:t>
      </w:r>
      <w:r w:rsidR="00964C3E" w:rsidRPr="009B7F14">
        <w:t>selection of activities</w:t>
      </w:r>
      <w:r w:rsidR="00BA7549" w:rsidRPr="009B7F14">
        <w:t xml:space="preserve">) in relation to the implementation of the fund </w:t>
      </w:r>
      <w:r w:rsidR="00840B80" w:rsidRPr="009B7F14">
        <w:t xml:space="preserve">may </w:t>
      </w:r>
      <w:r w:rsidR="00BA7549" w:rsidRPr="009B7F14">
        <w:t xml:space="preserve">be covered under the programme management budget heading. </w:t>
      </w:r>
    </w:p>
    <w:p w14:paraId="76BB0E45" w14:textId="77777777" w:rsidR="006C023C" w:rsidRPr="009B7F14" w:rsidRDefault="006C023C" w:rsidP="0049030C">
      <w:pPr>
        <w:pStyle w:val="Caption"/>
      </w:pPr>
      <w:bookmarkStart w:id="24" w:name="_Toc467246321"/>
      <w:bookmarkStart w:id="25" w:name="_Toc484174866"/>
      <w:r w:rsidRPr="009B7F14">
        <w:t xml:space="preserve">Table </w:t>
      </w:r>
      <w:r w:rsidR="00DE4338">
        <w:fldChar w:fldCharType="begin"/>
      </w:r>
      <w:r w:rsidR="00DE4338">
        <w:instrText xml:space="preserve"> SEQ Table \* ARABIC </w:instrText>
      </w:r>
      <w:r w:rsidR="00DE4338">
        <w:fldChar w:fldCharType="separate"/>
      </w:r>
      <w:r w:rsidR="00215E29">
        <w:rPr>
          <w:noProof/>
        </w:rPr>
        <w:t>4</w:t>
      </w:r>
      <w:r w:rsidR="00DE4338">
        <w:rPr>
          <w:noProof/>
        </w:rPr>
        <w:fldChar w:fldCharType="end"/>
      </w:r>
      <w:r w:rsidRPr="009B7F14">
        <w:t>: Budget structure</w:t>
      </w:r>
      <w:bookmarkEnd w:id="24"/>
      <w:bookmarkEnd w:id="25"/>
    </w:p>
    <w:tbl>
      <w:tblPr>
        <w:tblStyle w:val="TableGrid"/>
        <w:tblW w:w="5000" w:type="pct"/>
        <w:tblLook w:val="04E0" w:firstRow="1" w:lastRow="1" w:firstColumn="1" w:lastColumn="0" w:noHBand="0" w:noVBand="1"/>
        <w:tblDescription w:val="gf"/>
      </w:tblPr>
      <w:tblGrid>
        <w:gridCol w:w="7084"/>
        <w:gridCol w:w="1933"/>
      </w:tblGrid>
      <w:tr w:rsidR="00026095" w:rsidRPr="009B7F14" w14:paraId="3B740869" w14:textId="77777777" w:rsidTr="003604CE">
        <w:trPr>
          <w:cnfStyle w:val="100000000000" w:firstRow="1" w:lastRow="0" w:firstColumn="0" w:lastColumn="0" w:oddVBand="0" w:evenVBand="0" w:oddHBand="0" w:evenHBand="0" w:firstRowFirstColumn="0" w:firstRowLastColumn="0" w:lastRowFirstColumn="0" w:lastRowLastColumn="0"/>
          <w:trHeight w:hRule="exact" w:val="454"/>
        </w:trPr>
        <w:tc>
          <w:tcPr>
            <w:tcW w:w="3928" w:type="pct"/>
            <w:vAlign w:val="center"/>
          </w:tcPr>
          <w:p w14:paraId="011F57B2" w14:textId="3D392C88" w:rsidR="00026095" w:rsidRPr="009B7F14" w:rsidRDefault="00026095" w:rsidP="00B90C4B">
            <w:pPr>
              <w:spacing w:line="276" w:lineRule="auto"/>
              <w:jc w:val="center"/>
              <w:rPr>
                <w:sz w:val="18"/>
              </w:rPr>
            </w:pPr>
            <w:r w:rsidRPr="009B7F14">
              <w:rPr>
                <w:sz w:val="18"/>
              </w:rPr>
              <w:t>Funds</w:t>
            </w:r>
            <w:r w:rsidR="00A87AB3">
              <w:rPr>
                <w:sz w:val="18"/>
              </w:rPr>
              <w:t xml:space="preserve"> for bilateral relations</w:t>
            </w:r>
          </w:p>
        </w:tc>
        <w:tc>
          <w:tcPr>
            <w:tcW w:w="1072" w:type="pct"/>
            <w:vAlign w:val="center"/>
          </w:tcPr>
          <w:p w14:paraId="2A73E710" w14:textId="7667362D" w:rsidR="00026095" w:rsidRPr="009B7F14" w:rsidRDefault="00026095" w:rsidP="00EF3B6D">
            <w:pPr>
              <w:spacing w:line="276" w:lineRule="auto"/>
              <w:jc w:val="center"/>
              <w:rPr>
                <w:sz w:val="18"/>
              </w:rPr>
            </w:pPr>
          </w:p>
        </w:tc>
      </w:tr>
      <w:tr w:rsidR="003A1E3E" w:rsidRPr="009B7F14" w14:paraId="78684A59" w14:textId="77777777" w:rsidTr="00A9333A">
        <w:trPr>
          <w:trHeight w:hRule="exact" w:val="340"/>
        </w:trPr>
        <w:tc>
          <w:tcPr>
            <w:tcW w:w="3928" w:type="pct"/>
            <w:vAlign w:val="center"/>
          </w:tcPr>
          <w:p w14:paraId="6D7380F1" w14:textId="77777777" w:rsidR="003A1E3E" w:rsidRPr="009B7F14" w:rsidRDefault="003B756B" w:rsidP="00B90C4B">
            <w:pPr>
              <w:spacing w:line="276" w:lineRule="auto"/>
              <w:jc w:val="left"/>
              <w:rPr>
                <w:sz w:val="18"/>
              </w:rPr>
            </w:pPr>
            <w:r>
              <w:rPr>
                <w:sz w:val="18"/>
              </w:rPr>
              <w:t>Activities carried out by the NFP</w:t>
            </w:r>
          </w:p>
        </w:tc>
        <w:tc>
          <w:tcPr>
            <w:tcW w:w="1072" w:type="pct"/>
            <w:vAlign w:val="center"/>
          </w:tcPr>
          <w:p w14:paraId="03268927" w14:textId="33FA90C3" w:rsidR="003A1E3E" w:rsidRPr="009B7F14" w:rsidRDefault="006D7F46" w:rsidP="00697775">
            <w:pPr>
              <w:spacing w:line="276" w:lineRule="auto"/>
              <w:jc w:val="right"/>
              <w:rPr>
                <w:sz w:val="18"/>
              </w:rPr>
            </w:pPr>
            <w:r>
              <w:rPr>
                <w:sz w:val="18"/>
              </w:rPr>
              <w:t xml:space="preserve">€ </w:t>
            </w:r>
            <w:r w:rsidR="00697775">
              <w:rPr>
                <w:sz w:val="18"/>
              </w:rPr>
              <w:t>500,000</w:t>
            </w:r>
          </w:p>
        </w:tc>
      </w:tr>
      <w:tr w:rsidR="003A1E3E" w:rsidRPr="009B7F14" w14:paraId="51A1BDF5" w14:textId="77777777" w:rsidTr="00A9333A">
        <w:trPr>
          <w:trHeight w:hRule="exact" w:val="340"/>
        </w:trPr>
        <w:tc>
          <w:tcPr>
            <w:tcW w:w="3928" w:type="pct"/>
            <w:vAlign w:val="center"/>
          </w:tcPr>
          <w:p w14:paraId="53F9267A" w14:textId="43691F9A" w:rsidR="003A1E3E" w:rsidRPr="009B7F14" w:rsidRDefault="003B756B" w:rsidP="00E84C25">
            <w:pPr>
              <w:spacing w:line="276" w:lineRule="auto"/>
              <w:jc w:val="left"/>
              <w:rPr>
                <w:sz w:val="18"/>
              </w:rPr>
            </w:pPr>
            <w:r>
              <w:rPr>
                <w:sz w:val="18"/>
              </w:rPr>
              <w:t>Call for proposal (</w:t>
            </w:r>
            <w:r w:rsidR="00E84C25">
              <w:rPr>
                <w:sz w:val="18"/>
              </w:rPr>
              <w:t>n</w:t>
            </w:r>
            <w:r>
              <w:rPr>
                <w:sz w:val="18"/>
              </w:rPr>
              <w:t>ational level</w:t>
            </w:r>
            <w:r w:rsidR="00E84C25">
              <w:rPr>
                <w:sz w:val="18"/>
              </w:rPr>
              <w:t>, o</w:t>
            </w:r>
            <w:r>
              <w:rPr>
                <w:sz w:val="18"/>
              </w:rPr>
              <w:t>ne line for each call)</w:t>
            </w:r>
          </w:p>
        </w:tc>
        <w:tc>
          <w:tcPr>
            <w:tcW w:w="1072" w:type="pct"/>
            <w:vAlign w:val="center"/>
          </w:tcPr>
          <w:p w14:paraId="184607B1" w14:textId="13248288" w:rsidR="003A1E3E" w:rsidRPr="009B7F14" w:rsidRDefault="006D7F46" w:rsidP="00B90C4B">
            <w:pPr>
              <w:spacing w:line="276" w:lineRule="auto"/>
              <w:jc w:val="right"/>
              <w:rPr>
                <w:sz w:val="18"/>
              </w:rPr>
            </w:pPr>
            <w:r>
              <w:rPr>
                <w:sz w:val="18"/>
              </w:rPr>
              <w:t xml:space="preserve">€ </w:t>
            </w:r>
            <w:r w:rsidR="00697775">
              <w:rPr>
                <w:sz w:val="18"/>
              </w:rPr>
              <w:t>400,000</w:t>
            </w:r>
          </w:p>
        </w:tc>
      </w:tr>
      <w:tr w:rsidR="003A1E3E" w:rsidRPr="009B7F14" w14:paraId="27F60909" w14:textId="77777777" w:rsidTr="00A9333A">
        <w:trPr>
          <w:trHeight w:hRule="exact" w:val="340"/>
        </w:trPr>
        <w:tc>
          <w:tcPr>
            <w:tcW w:w="3928" w:type="pct"/>
            <w:vAlign w:val="center"/>
          </w:tcPr>
          <w:p w14:paraId="450143BC" w14:textId="44922892" w:rsidR="003A1E3E" w:rsidRPr="009B7F14" w:rsidRDefault="003B756B" w:rsidP="000F2A10">
            <w:pPr>
              <w:spacing w:line="276" w:lineRule="auto"/>
              <w:jc w:val="left"/>
              <w:rPr>
                <w:sz w:val="18"/>
              </w:rPr>
            </w:pPr>
            <w:r>
              <w:rPr>
                <w:sz w:val="18"/>
              </w:rPr>
              <w:t>Pre-defined activities (</w:t>
            </w:r>
            <w:r w:rsidR="00E84C25">
              <w:rPr>
                <w:sz w:val="18"/>
              </w:rPr>
              <w:t>n</w:t>
            </w:r>
            <w:r w:rsidR="000F2A10">
              <w:rPr>
                <w:sz w:val="18"/>
              </w:rPr>
              <w:t xml:space="preserve">ational </w:t>
            </w:r>
            <w:r>
              <w:rPr>
                <w:sz w:val="18"/>
              </w:rPr>
              <w:t>level)</w:t>
            </w:r>
          </w:p>
        </w:tc>
        <w:tc>
          <w:tcPr>
            <w:tcW w:w="1072" w:type="pct"/>
            <w:vAlign w:val="center"/>
          </w:tcPr>
          <w:p w14:paraId="5C905411" w14:textId="0239FFD7" w:rsidR="003A1E3E" w:rsidRPr="009B7F14" w:rsidRDefault="006D7F46" w:rsidP="00B90C4B">
            <w:pPr>
              <w:spacing w:line="276" w:lineRule="auto"/>
              <w:jc w:val="right"/>
              <w:rPr>
                <w:sz w:val="18"/>
              </w:rPr>
            </w:pPr>
            <w:r>
              <w:rPr>
                <w:sz w:val="18"/>
              </w:rPr>
              <w:t xml:space="preserve">€ </w:t>
            </w:r>
            <w:r w:rsidR="00697775">
              <w:rPr>
                <w:sz w:val="18"/>
              </w:rPr>
              <w:t>600,000</w:t>
            </w:r>
          </w:p>
        </w:tc>
      </w:tr>
      <w:tr w:rsidR="003A1E3E" w:rsidRPr="009B7F14" w14:paraId="2383A1A0" w14:textId="77777777" w:rsidTr="00A9333A">
        <w:trPr>
          <w:trHeight w:hRule="exact" w:val="340"/>
        </w:trPr>
        <w:tc>
          <w:tcPr>
            <w:tcW w:w="3928" w:type="pct"/>
            <w:vAlign w:val="center"/>
          </w:tcPr>
          <w:p w14:paraId="24C57796" w14:textId="513B3D46" w:rsidR="003A1E3E" w:rsidRPr="009B7F14" w:rsidRDefault="001B56CF" w:rsidP="003B756B">
            <w:pPr>
              <w:spacing w:line="276" w:lineRule="auto"/>
              <w:jc w:val="left"/>
              <w:rPr>
                <w:sz w:val="18"/>
              </w:rPr>
            </w:pPr>
            <w:r>
              <w:rPr>
                <w:sz w:val="18"/>
              </w:rPr>
              <w:t>Activities carried out by PO in programme</w:t>
            </w:r>
            <w:r w:rsidR="00E84C25">
              <w:rPr>
                <w:sz w:val="18"/>
              </w:rPr>
              <w:t xml:space="preserve"> </w:t>
            </w:r>
            <w:r>
              <w:rPr>
                <w:sz w:val="18"/>
              </w:rPr>
              <w:t>XX##</w:t>
            </w:r>
          </w:p>
        </w:tc>
        <w:tc>
          <w:tcPr>
            <w:tcW w:w="1072" w:type="pct"/>
            <w:vAlign w:val="center"/>
          </w:tcPr>
          <w:p w14:paraId="46897CC0" w14:textId="6380C0EA" w:rsidR="003A1E3E" w:rsidRPr="009B7F14" w:rsidRDefault="00C27F98" w:rsidP="00697775">
            <w:pPr>
              <w:spacing w:line="276" w:lineRule="auto"/>
              <w:jc w:val="right"/>
              <w:rPr>
                <w:sz w:val="18"/>
              </w:rPr>
            </w:pPr>
            <w:r>
              <w:rPr>
                <w:sz w:val="18"/>
              </w:rPr>
              <w:t xml:space="preserve"> </w:t>
            </w:r>
            <w:r w:rsidR="006D7F46">
              <w:rPr>
                <w:sz w:val="18"/>
              </w:rPr>
              <w:t xml:space="preserve">€ </w:t>
            </w:r>
            <w:r w:rsidR="003A1E3E" w:rsidRPr="009B7F14">
              <w:rPr>
                <w:sz w:val="18"/>
              </w:rPr>
              <w:t>1</w:t>
            </w:r>
            <w:r w:rsidR="00697775">
              <w:rPr>
                <w:sz w:val="18"/>
              </w:rPr>
              <w:t>,</w:t>
            </w:r>
            <w:r w:rsidR="003A1E3E" w:rsidRPr="009B7F14">
              <w:rPr>
                <w:sz w:val="18"/>
              </w:rPr>
              <w:t>0</w:t>
            </w:r>
            <w:r w:rsidR="00697775">
              <w:rPr>
                <w:sz w:val="18"/>
              </w:rPr>
              <w:t>00,000</w:t>
            </w:r>
          </w:p>
        </w:tc>
      </w:tr>
      <w:tr w:rsidR="003A1E3E" w:rsidRPr="009B7F14" w14:paraId="309CE295" w14:textId="77777777" w:rsidTr="00A9333A">
        <w:trPr>
          <w:trHeight w:hRule="exact" w:val="340"/>
        </w:trPr>
        <w:tc>
          <w:tcPr>
            <w:tcW w:w="3928" w:type="pct"/>
            <w:vAlign w:val="center"/>
          </w:tcPr>
          <w:p w14:paraId="0BDC42BB" w14:textId="567F8EE8" w:rsidR="003A1E3E" w:rsidRPr="009B7F14" w:rsidRDefault="001B56CF" w:rsidP="00E84C25">
            <w:pPr>
              <w:spacing w:line="276" w:lineRule="auto"/>
              <w:jc w:val="left"/>
              <w:rPr>
                <w:sz w:val="18"/>
              </w:rPr>
            </w:pPr>
            <w:r>
              <w:rPr>
                <w:sz w:val="18"/>
              </w:rPr>
              <w:t>Call for proposal (</w:t>
            </w:r>
            <w:r w:rsidR="00E84C25">
              <w:rPr>
                <w:sz w:val="18"/>
              </w:rPr>
              <w:t>p</w:t>
            </w:r>
            <w:r>
              <w:rPr>
                <w:sz w:val="18"/>
              </w:rPr>
              <w:t>rogramme XX##</w:t>
            </w:r>
            <w:r w:rsidR="00E84C25">
              <w:rPr>
                <w:sz w:val="18"/>
              </w:rPr>
              <w:t>, o</w:t>
            </w:r>
            <w:r>
              <w:rPr>
                <w:sz w:val="18"/>
              </w:rPr>
              <w:t>ne line for each call)</w:t>
            </w:r>
          </w:p>
        </w:tc>
        <w:tc>
          <w:tcPr>
            <w:tcW w:w="1072" w:type="pct"/>
            <w:vAlign w:val="center"/>
          </w:tcPr>
          <w:p w14:paraId="1BF8BDFA" w14:textId="510387C5" w:rsidR="003A1E3E" w:rsidRPr="009B7F14" w:rsidRDefault="006D7F46" w:rsidP="00697775">
            <w:pPr>
              <w:spacing w:line="276" w:lineRule="auto"/>
              <w:jc w:val="right"/>
              <w:rPr>
                <w:sz w:val="18"/>
              </w:rPr>
            </w:pPr>
            <w:r>
              <w:rPr>
                <w:sz w:val="18"/>
              </w:rPr>
              <w:t xml:space="preserve">€ </w:t>
            </w:r>
            <w:r w:rsidR="00772D8A">
              <w:rPr>
                <w:sz w:val="18"/>
              </w:rPr>
              <w:t>5</w:t>
            </w:r>
            <w:r w:rsidR="00697775">
              <w:rPr>
                <w:sz w:val="18"/>
              </w:rPr>
              <w:t>00,000</w:t>
            </w:r>
          </w:p>
        </w:tc>
      </w:tr>
      <w:tr w:rsidR="001B56CF" w:rsidRPr="009B7F14" w14:paraId="164B4551" w14:textId="77777777" w:rsidTr="00A9333A">
        <w:trPr>
          <w:trHeight w:hRule="exact" w:val="340"/>
        </w:trPr>
        <w:tc>
          <w:tcPr>
            <w:tcW w:w="3928" w:type="pct"/>
            <w:vAlign w:val="center"/>
          </w:tcPr>
          <w:p w14:paraId="375912A1" w14:textId="73F514FF" w:rsidR="001B56CF" w:rsidRDefault="00E84C25" w:rsidP="001B56CF">
            <w:pPr>
              <w:spacing w:line="276" w:lineRule="auto"/>
              <w:jc w:val="left"/>
              <w:rPr>
                <w:sz w:val="18"/>
              </w:rPr>
            </w:pPr>
            <w:r>
              <w:rPr>
                <w:sz w:val="18"/>
              </w:rPr>
              <w:t>Pre-defined activities (p</w:t>
            </w:r>
            <w:r w:rsidR="001B56CF">
              <w:rPr>
                <w:sz w:val="18"/>
              </w:rPr>
              <w:t>rogramme XX##)</w:t>
            </w:r>
          </w:p>
        </w:tc>
        <w:tc>
          <w:tcPr>
            <w:tcW w:w="1072" w:type="pct"/>
            <w:vAlign w:val="center"/>
          </w:tcPr>
          <w:p w14:paraId="6F2C6C7F" w14:textId="63DBF1C9" w:rsidR="001B56CF" w:rsidRDefault="00772D8A" w:rsidP="00697775">
            <w:pPr>
              <w:spacing w:line="276" w:lineRule="auto"/>
              <w:jc w:val="right"/>
              <w:rPr>
                <w:sz w:val="18"/>
              </w:rPr>
            </w:pPr>
            <w:r>
              <w:rPr>
                <w:sz w:val="18"/>
              </w:rPr>
              <w:t xml:space="preserve"> </w:t>
            </w:r>
            <w:r w:rsidR="006D7F46">
              <w:rPr>
                <w:sz w:val="18"/>
              </w:rPr>
              <w:t xml:space="preserve">€ </w:t>
            </w:r>
            <w:r>
              <w:rPr>
                <w:sz w:val="18"/>
              </w:rPr>
              <w:t>500,000</w:t>
            </w:r>
          </w:p>
        </w:tc>
      </w:tr>
      <w:tr w:rsidR="00026095" w:rsidRPr="009B7F14" w14:paraId="26C4A573" w14:textId="77777777" w:rsidTr="00A9333A">
        <w:trPr>
          <w:trHeight w:hRule="exact" w:val="340"/>
        </w:trPr>
        <w:tc>
          <w:tcPr>
            <w:tcW w:w="3928" w:type="pct"/>
            <w:vAlign w:val="center"/>
          </w:tcPr>
          <w:p w14:paraId="0DAD41E7" w14:textId="77777777" w:rsidR="00026095" w:rsidRPr="009B7F14" w:rsidRDefault="00026095" w:rsidP="00B90C4B">
            <w:pPr>
              <w:spacing w:line="276" w:lineRule="auto"/>
              <w:jc w:val="left"/>
              <w:rPr>
                <w:b/>
                <w:sz w:val="18"/>
              </w:rPr>
            </w:pPr>
            <w:r w:rsidRPr="009B7F14">
              <w:rPr>
                <w:b/>
                <w:sz w:val="18"/>
              </w:rPr>
              <w:t>Total</w:t>
            </w:r>
          </w:p>
        </w:tc>
        <w:tc>
          <w:tcPr>
            <w:tcW w:w="1072" w:type="pct"/>
            <w:vAlign w:val="center"/>
          </w:tcPr>
          <w:p w14:paraId="4AC5F13E" w14:textId="07D79885" w:rsidR="00026095" w:rsidRPr="009B7F14" w:rsidRDefault="006D7F46" w:rsidP="00697775">
            <w:pPr>
              <w:spacing w:line="276" w:lineRule="auto"/>
              <w:jc w:val="right"/>
              <w:rPr>
                <w:b/>
                <w:sz w:val="18"/>
              </w:rPr>
            </w:pPr>
            <w:r>
              <w:rPr>
                <w:b/>
                <w:sz w:val="18"/>
              </w:rPr>
              <w:t xml:space="preserve">€ </w:t>
            </w:r>
            <w:r w:rsidR="003A1E3E" w:rsidRPr="009B7F14">
              <w:rPr>
                <w:b/>
                <w:sz w:val="18"/>
              </w:rPr>
              <w:t>3</w:t>
            </w:r>
            <w:r w:rsidR="00697775">
              <w:rPr>
                <w:b/>
                <w:sz w:val="18"/>
              </w:rPr>
              <w:t>,500,000</w:t>
            </w:r>
            <w:r w:rsidR="00026095" w:rsidRPr="009B7F14">
              <w:rPr>
                <w:b/>
                <w:sz w:val="18"/>
              </w:rPr>
              <w:t>*)</w:t>
            </w:r>
          </w:p>
        </w:tc>
      </w:tr>
    </w:tbl>
    <w:p w14:paraId="610C0305" w14:textId="77777777" w:rsidR="00533782" w:rsidRPr="00B033FD" w:rsidRDefault="00533782" w:rsidP="00376576">
      <w:pPr>
        <w:rPr>
          <w:sz w:val="16"/>
          <w:szCs w:val="16"/>
        </w:rPr>
      </w:pPr>
      <w:r w:rsidRPr="00B033FD">
        <w:rPr>
          <w:sz w:val="16"/>
          <w:szCs w:val="16"/>
        </w:rPr>
        <w:t>*) a minimum of 2% of the</w:t>
      </w:r>
      <w:r w:rsidR="003A1E3E" w:rsidRPr="00B033FD">
        <w:rPr>
          <w:sz w:val="16"/>
          <w:szCs w:val="16"/>
        </w:rPr>
        <w:t xml:space="preserve"> gross</w:t>
      </w:r>
      <w:r w:rsidRPr="00B033FD">
        <w:rPr>
          <w:sz w:val="16"/>
          <w:szCs w:val="16"/>
        </w:rPr>
        <w:t xml:space="preserve"> allocation to the Beneficiary State</w:t>
      </w:r>
      <w:r w:rsidR="00CA1389" w:rsidRPr="00B033FD">
        <w:rPr>
          <w:sz w:val="16"/>
          <w:szCs w:val="16"/>
        </w:rPr>
        <w:t>, incl.</w:t>
      </w:r>
      <w:r w:rsidR="004E3490" w:rsidRPr="00B033FD">
        <w:rPr>
          <w:sz w:val="16"/>
          <w:szCs w:val="16"/>
        </w:rPr>
        <w:t xml:space="preserve"> D</w:t>
      </w:r>
      <w:r w:rsidR="003A1E3E" w:rsidRPr="00B033FD">
        <w:rPr>
          <w:sz w:val="16"/>
          <w:szCs w:val="16"/>
        </w:rPr>
        <w:t xml:space="preserve">onor </w:t>
      </w:r>
      <w:r w:rsidR="004E3490" w:rsidRPr="00B033FD">
        <w:rPr>
          <w:sz w:val="16"/>
          <w:szCs w:val="16"/>
        </w:rPr>
        <w:t xml:space="preserve">States’ </w:t>
      </w:r>
      <w:r w:rsidR="003A1E3E" w:rsidRPr="00B033FD">
        <w:rPr>
          <w:sz w:val="16"/>
          <w:szCs w:val="16"/>
        </w:rPr>
        <w:t>cost</w:t>
      </w:r>
      <w:r w:rsidR="004E3490" w:rsidRPr="00B033FD">
        <w:rPr>
          <w:sz w:val="16"/>
          <w:szCs w:val="16"/>
        </w:rPr>
        <w:t>s</w:t>
      </w:r>
    </w:p>
    <w:p w14:paraId="41D68BD1" w14:textId="77777777" w:rsidR="00E84C25" w:rsidRDefault="00E84C25" w:rsidP="00376576"/>
    <w:p w14:paraId="24DCB348" w14:textId="2F3C9148" w:rsidR="00533782" w:rsidRPr="009B7F14" w:rsidRDefault="00533782" w:rsidP="00376576">
      <w:r w:rsidRPr="009B7F14">
        <w:t>Reporting</w:t>
      </w:r>
      <w:r w:rsidR="00BA1024" w:rsidRPr="009B7F14">
        <w:t xml:space="preserve"> on the incurred and proposed expenditure under the </w:t>
      </w:r>
      <w:r w:rsidR="003C31F0">
        <w:t xml:space="preserve">fund </w:t>
      </w:r>
      <w:r w:rsidR="00E95829" w:rsidRPr="009B7F14">
        <w:t xml:space="preserve">to the FMO </w:t>
      </w:r>
      <w:r w:rsidR="00BA1024" w:rsidRPr="009B7F14">
        <w:t>shall be through one consolidated Interim Financial Report</w:t>
      </w:r>
      <w:r w:rsidR="007A1507">
        <w:t xml:space="preserve"> (IFR)</w:t>
      </w:r>
      <w:r w:rsidR="00E95829" w:rsidRPr="009B7F14">
        <w:t xml:space="preserve"> for </w:t>
      </w:r>
      <w:r w:rsidR="00AF054F">
        <w:t>the fund for bilateral relations</w:t>
      </w:r>
      <w:r w:rsidR="00BA1024" w:rsidRPr="009B7F14">
        <w:t>.</w:t>
      </w:r>
    </w:p>
    <w:p w14:paraId="41D68A2D" w14:textId="77777777" w:rsidR="00533782" w:rsidRPr="009B7F14" w:rsidRDefault="00D10D3D" w:rsidP="00376576">
      <w:r w:rsidRPr="009B7F14">
        <w:rPr>
          <w:noProof/>
          <w:lang w:eastAsia="en-GB"/>
        </w:rPr>
        <w:drawing>
          <wp:anchor distT="0" distB="0" distL="114300" distR="114300" simplePos="0" relativeHeight="251725824" behindDoc="0" locked="0" layoutInCell="1" allowOverlap="1" wp14:anchorId="28C15E7E" wp14:editId="1D52D148">
            <wp:simplePos x="0" y="0"/>
            <wp:positionH relativeFrom="column">
              <wp:posOffset>0</wp:posOffset>
            </wp:positionH>
            <wp:positionV relativeFrom="paragraph">
              <wp:posOffset>635</wp:posOffset>
            </wp:positionV>
            <wp:extent cx="5733404" cy="3870325"/>
            <wp:effectExtent l="0" t="0" r="1270" b="0"/>
            <wp:wrapSquare wrapText="bothSides"/>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3404" cy="3870325"/>
                    </a:xfrm>
                    <a:prstGeom prst="rect">
                      <a:avLst/>
                    </a:prstGeom>
                    <a:noFill/>
                  </pic:spPr>
                </pic:pic>
              </a:graphicData>
            </a:graphic>
          </wp:anchor>
        </w:drawing>
      </w:r>
    </w:p>
    <w:p w14:paraId="5E7FC2F4" w14:textId="77777777" w:rsidR="00DA7821" w:rsidRPr="009B7F14" w:rsidRDefault="00DA7821" w:rsidP="00920571">
      <w:pPr>
        <w:pStyle w:val="Heading2"/>
      </w:pPr>
      <w:bookmarkStart w:id="26" w:name="_Eligible_expenditure_of"/>
      <w:bookmarkStart w:id="27" w:name="_Ref462062505"/>
      <w:bookmarkStart w:id="28" w:name="_Toc484174835"/>
      <w:bookmarkEnd w:id="26"/>
      <w:r w:rsidRPr="009B7F14">
        <w:t>Eligible ex</w:t>
      </w:r>
      <w:r w:rsidR="00EF1D9E" w:rsidRPr="009B7F14">
        <w:t>penditure of a programme (</w:t>
      </w:r>
      <w:r w:rsidR="00F0547B" w:rsidRPr="009B7F14">
        <w:t xml:space="preserve">Reg. </w:t>
      </w:r>
      <w:r w:rsidR="00EF1D9E" w:rsidRPr="009B7F14">
        <w:t>Art. 8.1, 8</w:t>
      </w:r>
      <w:r w:rsidRPr="009B7F14">
        <w:t>.10)</w:t>
      </w:r>
      <w:bookmarkEnd w:id="27"/>
      <w:bookmarkEnd w:id="28"/>
    </w:p>
    <w:p w14:paraId="6666E5FA" w14:textId="77777777" w:rsidR="00960982" w:rsidRPr="009B7F14" w:rsidRDefault="00960982" w:rsidP="00B85001">
      <w:r w:rsidRPr="009B7F14">
        <w:t xml:space="preserve">The eligible expenditures of a </w:t>
      </w:r>
      <w:r w:rsidR="00EF1D9E" w:rsidRPr="009B7F14">
        <w:t>p</w:t>
      </w:r>
      <w:r w:rsidR="00B85001" w:rsidRPr="009B7F14">
        <w:t xml:space="preserve">rogramme </w:t>
      </w:r>
      <w:r w:rsidR="000D0AE4" w:rsidRPr="009B7F14">
        <w:t>may consist of</w:t>
      </w:r>
      <w:r w:rsidR="00B85001" w:rsidRPr="009B7F14">
        <w:t xml:space="preserve"> m</w:t>
      </w:r>
      <w:r w:rsidRPr="009B7F14">
        <w:t>anagement costs of the P</w:t>
      </w:r>
      <w:r w:rsidR="00EF1D9E" w:rsidRPr="009B7F14">
        <w:rPr>
          <w:lang w:val="en-US"/>
        </w:rPr>
        <w:t>O</w:t>
      </w:r>
      <w:r w:rsidR="00B85001" w:rsidRPr="009B7F14">
        <w:rPr>
          <w:lang w:val="en-US"/>
        </w:rPr>
        <w:t xml:space="preserve"> and payments to projects within the </w:t>
      </w:r>
      <w:r w:rsidR="00DA0912" w:rsidRPr="009B7F14">
        <w:rPr>
          <w:lang w:val="en-US"/>
        </w:rPr>
        <w:t>programme</w:t>
      </w:r>
      <w:r w:rsidR="00B85001" w:rsidRPr="009B7F14">
        <w:rPr>
          <w:lang w:val="en-US"/>
        </w:rPr>
        <w:t>.</w:t>
      </w:r>
      <w:r w:rsidRPr="009B7F14">
        <w:t xml:space="preserve"> </w:t>
      </w:r>
    </w:p>
    <w:p w14:paraId="149191C6" w14:textId="65B080EB" w:rsidR="00960982" w:rsidRPr="009B7F14" w:rsidRDefault="00960982" w:rsidP="00E264C0">
      <w:pPr>
        <w:spacing w:after="0"/>
      </w:pPr>
      <w:r w:rsidRPr="009B7F14">
        <w:t>The eligibility of costs is cond</w:t>
      </w:r>
      <w:r w:rsidR="00EF1D9E" w:rsidRPr="009B7F14">
        <w:t xml:space="preserve">itional on </w:t>
      </w:r>
      <w:r w:rsidR="00B85001" w:rsidRPr="009B7F14">
        <w:t>programme approval</w:t>
      </w:r>
      <w:r w:rsidRPr="009B7F14">
        <w:t xml:space="preserve"> by the FMO and </w:t>
      </w:r>
      <w:r w:rsidR="00B85001" w:rsidRPr="009B7F14">
        <w:t>subject to</w:t>
      </w:r>
      <w:r w:rsidRPr="009B7F14">
        <w:t xml:space="preserve"> </w:t>
      </w:r>
      <w:r w:rsidR="005E2D53" w:rsidRPr="009B7F14">
        <w:t>limits set</w:t>
      </w:r>
      <w:r w:rsidRPr="009B7F14">
        <w:t xml:space="preserve"> in the </w:t>
      </w:r>
      <w:r w:rsidR="00EF1D9E" w:rsidRPr="009B7F14">
        <w:t>PA</w:t>
      </w:r>
      <w:r w:rsidRPr="009B7F14">
        <w:t>. The first date of eligibility of expenditure</w:t>
      </w:r>
      <w:r w:rsidR="0010036B" w:rsidRPr="009B7F14">
        <w:t>s</w:t>
      </w:r>
      <w:r w:rsidRPr="009B7F14">
        <w:t xml:space="preserve"> </w:t>
      </w:r>
      <w:r w:rsidR="00B85001" w:rsidRPr="009B7F14">
        <w:t xml:space="preserve">is </w:t>
      </w:r>
      <w:r w:rsidRPr="009B7F14">
        <w:t xml:space="preserve">the date on which the NFP designated the PO </w:t>
      </w:r>
      <w:r w:rsidR="0049008E" w:rsidRPr="009B7F14">
        <w:t>(Reg. Art. 5.2.3)</w:t>
      </w:r>
      <w:r w:rsidR="00094EC1" w:rsidRPr="009B7F14">
        <w:t>,</w:t>
      </w:r>
      <w:r w:rsidR="00B85001" w:rsidRPr="009B7F14">
        <w:t xml:space="preserve"> and the final date shall be</w:t>
      </w:r>
      <w:r w:rsidRPr="009B7F14">
        <w:t xml:space="preserve"> </w:t>
      </w:r>
      <w:r w:rsidR="000D0AE4" w:rsidRPr="009B7F14">
        <w:t xml:space="preserve">31 December </w:t>
      </w:r>
      <w:r w:rsidRPr="009B7F14">
        <w:t>2024 unless an earlier date is specified in the P</w:t>
      </w:r>
      <w:r w:rsidR="00EF1D9E" w:rsidRPr="009B7F14">
        <w:t>A</w:t>
      </w:r>
      <w:r w:rsidRPr="009B7F14">
        <w:t xml:space="preserve">. The eligible programme expenditures shall be reported to the FMO through the </w:t>
      </w:r>
      <w:r w:rsidR="00480919" w:rsidRPr="009B7F14">
        <w:t>IFRs.</w:t>
      </w:r>
    </w:p>
    <w:p w14:paraId="2F920643" w14:textId="77777777" w:rsidR="00960982" w:rsidRPr="009B7F14" w:rsidRDefault="00960982" w:rsidP="00376576">
      <w:r w:rsidRPr="009B7F14">
        <w:t>If the P</w:t>
      </w:r>
      <w:r w:rsidR="0098323E" w:rsidRPr="009B7F14">
        <w:t>O</w:t>
      </w:r>
      <w:r w:rsidRPr="009B7F14">
        <w:t xml:space="preserve"> delegates certain tasks to oth</w:t>
      </w:r>
      <w:r w:rsidR="001411FC" w:rsidRPr="009B7F14">
        <w:t>er entities</w:t>
      </w:r>
      <w:r w:rsidRPr="009B7F14">
        <w:t xml:space="preserve"> or</w:t>
      </w:r>
      <w:r w:rsidR="001411FC" w:rsidRPr="009B7F14">
        <w:t>,</w:t>
      </w:r>
      <w:r w:rsidRPr="009B7F14">
        <w:t xml:space="preserve"> on the basis of the MoU the tasks </w:t>
      </w:r>
      <w:r w:rsidR="001411FC" w:rsidRPr="009B7F14">
        <w:t>are</w:t>
      </w:r>
      <w:r w:rsidRPr="009B7F14">
        <w:t xml:space="preserve"> split between different entities, costs of the other entities can be covered as long as they fall within the eligible categories. </w:t>
      </w:r>
    </w:p>
    <w:p w14:paraId="10070E10" w14:textId="77777777" w:rsidR="007C79FB" w:rsidRPr="009B7F14" w:rsidRDefault="007C79FB" w:rsidP="00920571">
      <w:pPr>
        <w:pStyle w:val="Heading3"/>
      </w:pPr>
      <w:bookmarkStart w:id="29" w:name="_Ref465347593"/>
      <w:r w:rsidRPr="009B7F14">
        <w:t>Management costs of the PO</w:t>
      </w:r>
      <w:bookmarkEnd w:id="29"/>
    </w:p>
    <w:p w14:paraId="79B3277E" w14:textId="77777777" w:rsidR="00960982" w:rsidRPr="009B7F14" w:rsidRDefault="00960982" w:rsidP="00376576">
      <w:r w:rsidRPr="009B7F14">
        <w:t xml:space="preserve">The following categories of expenditure are eligible as management costs, provided that the expenditure is </w:t>
      </w:r>
      <w:r w:rsidR="00480919" w:rsidRPr="009B7F14">
        <w:t>proportionate, necessary and within the management cost budget stated in the PA</w:t>
      </w:r>
      <w:r w:rsidRPr="009B7F14">
        <w:t xml:space="preserve">: </w:t>
      </w:r>
    </w:p>
    <w:p w14:paraId="68FF0901" w14:textId="15B4CE91" w:rsidR="00557DF3" w:rsidRPr="009B7F14" w:rsidRDefault="00557DF3" w:rsidP="00557DF3">
      <w:r w:rsidRPr="009B7F14">
        <w:t>1. Expenditures directly related to the preparation of the programme, including the development of the programme design, the results framewor</w:t>
      </w:r>
      <w:r w:rsidR="00DE5468">
        <w:t>k and stakeholder consultations</w:t>
      </w:r>
      <w:r w:rsidRPr="009B7F14">
        <w:t xml:space="preserve"> </w:t>
      </w:r>
    </w:p>
    <w:p w14:paraId="1B094B80" w14:textId="5038ACB2" w:rsidR="00557DF3" w:rsidRPr="009B7F14" w:rsidRDefault="00557DF3" w:rsidP="00557DF3">
      <w:r w:rsidRPr="009B7F14">
        <w:t>2. Preparation of the implementation of the programme, including the development of procedures for projec</w:t>
      </w:r>
      <w:r w:rsidR="00DE5468">
        <w:t>t selection and financial flows</w:t>
      </w:r>
      <w:r w:rsidRPr="009B7F14">
        <w:t xml:space="preserve"> </w:t>
      </w:r>
    </w:p>
    <w:p w14:paraId="4EA222B3" w14:textId="1C4DC016" w:rsidR="00557DF3" w:rsidRPr="009B7F14" w:rsidRDefault="00557DF3" w:rsidP="00557DF3">
      <w:r w:rsidRPr="009B7F14">
        <w:t xml:space="preserve">3.  Assisting possible applicants and </w:t>
      </w:r>
      <w:r w:rsidR="004E3490">
        <w:t>PPs</w:t>
      </w:r>
      <w:r w:rsidRPr="009B7F14">
        <w:t xml:space="preserve"> in complying with the requirements set by the P</w:t>
      </w:r>
      <w:r w:rsidR="004E3490">
        <w:t>O</w:t>
      </w:r>
      <w:r w:rsidRPr="009B7F14">
        <w:t xml:space="preserve"> for project applications and/or</w:t>
      </w:r>
      <w:r w:rsidR="00DE5468">
        <w:t xml:space="preserve"> the implementation of projects</w:t>
      </w:r>
      <w:r w:rsidRPr="009B7F14">
        <w:t xml:space="preserve"> </w:t>
      </w:r>
    </w:p>
    <w:p w14:paraId="3D1A0585" w14:textId="77777777" w:rsidR="00557DF3" w:rsidRPr="009B7F14" w:rsidRDefault="00557DF3" w:rsidP="00557DF3">
      <w:r w:rsidRPr="009B7F14">
        <w:t xml:space="preserve">4. Selection of projects, including costs of experts and meetings, and appeals; </w:t>
      </w:r>
    </w:p>
    <w:p w14:paraId="2A5286A6" w14:textId="3212538E" w:rsidR="00557DF3" w:rsidRPr="009B7F14" w:rsidRDefault="00557DF3" w:rsidP="00557DF3">
      <w:r w:rsidRPr="009B7F14">
        <w:t>5.  Verification of incurred expenditure, approval of payments and transfer o</w:t>
      </w:r>
      <w:r w:rsidR="00DE5468">
        <w:t xml:space="preserve">f payments to </w:t>
      </w:r>
      <w:r w:rsidR="004E3490">
        <w:t>PPs</w:t>
      </w:r>
      <w:r w:rsidRPr="009B7F14">
        <w:t xml:space="preserve"> </w:t>
      </w:r>
    </w:p>
    <w:p w14:paraId="3B046526" w14:textId="3251E647" w:rsidR="00557DF3" w:rsidRPr="009B7F14" w:rsidRDefault="00557DF3" w:rsidP="00557DF3">
      <w:r w:rsidRPr="009B7F14">
        <w:t>6.  Moni</w:t>
      </w:r>
      <w:r w:rsidR="00DE5468">
        <w:t>toring of projects and reviews</w:t>
      </w:r>
    </w:p>
    <w:p w14:paraId="32A92A4A" w14:textId="7ED91FBE" w:rsidR="00557DF3" w:rsidRPr="009B7F14" w:rsidRDefault="00557DF3" w:rsidP="00557DF3">
      <w:r w:rsidRPr="009B7F14">
        <w:t>7.  Audits and on-th</w:t>
      </w:r>
      <w:r w:rsidR="00DE5468">
        <w:t>e-spot verification of projects</w:t>
      </w:r>
      <w:r w:rsidRPr="009B7F14">
        <w:t xml:space="preserve"> </w:t>
      </w:r>
    </w:p>
    <w:p w14:paraId="1EC8174D" w14:textId="5C98AAFE" w:rsidR="00557DF3" w:rsidRPr="009B7F14" w:rsidRDefault="00356202" w:rsidP="00557DF3">
      <w:r>
        <w:t>8.  P</w:t>
      </w:r>
      <w:r w:rsidR="00557DF3" w:rsidRPr="009B7F14">
        <w:t>romotional and information activities, including calls for proposals and information work during the application period as well as information events to share experiences and evalu</w:t>
      </w:r>
      <w:r w:rsidR="00DE5468">
        <w:t>ate the impact of the programme</w:t>
      </w:r>
      <w:r w:rsidR="00557DF3" w:rsidRPr="009B7F14">
        <w:t xml:space="preserve"> </w:t>
      </w:r>
    </w:p>
    <w:p w14:paraId="7D32A435" w14:textId="1F99FF73" w:rsidR="00557DF3" w:rsidRPr="009B7F14" w:rsidRDefault="00557DF3" w:rsidP="00557DF3">
      <w:r w:rsidRPr="009B7F14">
        <w:t>9.  Expenditures related to reporting obligations to the FMC, the N</w:t>
      </w:r>
      <w:r w:rsidR="00DF4357">
        <w:t>FP</w:t>
      </w:r>
      <w:r w:rsidRPr="009B7F14">
        <w:t>, the C</w:t>
      </w:r>
      <w:r w:rsidR="00DF4357">
        <w:t>A</w:t>
      </w:r>
      <w:r w:rsidRPr="009B7F14">
        <w:t xml:space="preserve"> and/</w:t>
      </w:r>
      <w:r w:rsidR="00DE5468">
        <w:t>or the Irregularities Authority</w:t>
      </w:r>
      <w:r w:rsidRPr="009B7F14">
        <w:t xml:space="preserve"> </w:t>
      </w:r>
    </w:p>
    <w:p w14:paraId="1AD29126" w14:textId="6D128C4C" w:rsidR="00557DF3" w:rsidRPr="009B7F14" w:rsidRDefault="00557DF3" w:rsidP="00557DF3">
      <w:r w:rsidRPr="009B7F14">
        <w:t xml:space="preserve">10.  Charges related to the establishment and operation of bank accounts required under this Regulation or the </w:t>
      </w:r>
      <w:r w:rsidR="00AF054F">
        <w:t>PA</w:t>
      </w:r>
      <w:r w:rsidRPr="009B7F14">
        <w:t xml:space="preserve">, including costs of </w:t>
      </w:r>
      <w:r w:rsidR="00DE5468">
        <w:t>incoming and outgoing transfers</w:t>
      </w:r>
      <w:r w:rsidRPr="009B7F14">
        <w:t xml:space="preserve"> </w:t>
      </w:r>
    </w:p>
    <w:p w14:paraId="1B171714" w14:textId="63B24B3B" w:rsidR="00557DF3" w:rsidRPr="009B7F14" w:rsidRDefault="00557DF3" w:rsidP="00557DF3">
      <w:r w:rsidRPr="009B7F14">
        <w:t>11.  Overheads, calculated in accordance with paragraphs 1(a), (b) or (c) of Article 8.5, as appropriate, and subject to the requirements</w:t>
      </w:r>
      <w:r w:rsidR="00DE5468">
        <w:t xml:space="preserve"> in paragraph 6 of Article 8.12</w:t>
      </w:r>
      <w:r w:rsidRPr="009B7F14">
        <w:t xml:space="preserve"> </w:t>
      </w:r>
    </w:p>
    <w:p w14:paraId="5FDD1D8D" w14:textId="0C3DA9B2" w:rsidR="00557DF3" w:rsidRPr="009B7F14" w:rsidRDefault="00557DF3" w:rsidP="00557DF3">
      <w:r w:rsidRPr="009B7F14">
        <w:t>12.  Expenditures related to the operation of the Cooperation Committee in the case of donor partnership programmes and expenditures related to the operation of the Programme Committee, when required within programmes falling unde</w:t>
      </w:r>
      <w:r w:rsidR="00DE5468">
        <w:t>r the programme area “Research”</w:t>
      </w:r>
      <w:r w:rsidRPr="009B7F14">
        <w:t xml:space="preserve"> </w:t>
      </w:r>
    </w:p>
    <w:p w14:paraId="40C38868" w14:textId="77777777" w:rsidR="00557DF3" w:rsidRPr="009B7F14" w:rsidRDefault="00557DF3" w:rsidP="00557DF3">
      <w:r w:rsidRPr="009B7F14">
        <w:t xml:space="preserve">13.  Expenditures related to the strengthening of bilateral relations; and </w:t>
      </w:r>
    </w:p>
    <w:p w14:paraId="2854E3FC" w14:textId="2EF4A6EB" w:rsidR="00557DF3" w:rsidRPr="009B7F14" w:rsidRDefault="00557DF3" w:rsidP="00557DF3">
      <w:r w:rsidRPr="009B7F14">
        <w:t xml:space="preserve">14.  Activities aimed at strengthening cooperation and exchanging experience and best practices between the </w:t>
      </w:r>
      <w:r w:rsidR="004E3490">
        <w:t>POs</w:t>
      </w:r>
      <w:r w:rsidRPr="009B7F14">
        <w:t xml:space="preserve"> and similar entities within the Beneficiary States and/or Donor States, and</w:t>
      </w:r>
      <w:r w:rsidR="00DE5468">
        <w:t>/or international organisations</w:t>
      </w:r>
    </w:p>
    <w:p w14:paraId="5BBB0B18" w14:textId="77777777" w:rsidR="00557DF3" w:rsidRDefault="00557DF3" w:rsidP="00557DF3">
      <w:r w:rsidRPr="009B7F14">
        <w:t>The NFP should strictly moni</w:t>
      </w:r>
      <w:r w:rsidR="0079011A">
        <w:t>tor and question</w:t>
      </w:r>
      <w:r w:rsidRPr="009B7F14">
        <w:t xml:space="preserve"> the participation of the staff in trainings aimed at improving skills in terms of performing their tasks, such as monitoring, public procurement, financial management and/or programme content-related.</w:t>
      </w:r>
      <w:r w:rsidR="00832109">
        <w:t xml:space="preserve"> The same applies to PO level. Costs related to travel outside the EEA shall normally not be considered eligible.</w:t>
      </w:r>
    </w:p>
    <w:p w14:paraId="31A57BAD" w14:textId="5EBEAB96" w:rsidR="00557DF3" w:rsidRPr="009B7F14" w:rsidRDefault="00832109" w:rsidP="00557DF3">
      <w:r w:rsidRPr="00832109">
        <w:t>The Regulations do not specifically identify trainings and improvement of professional skills in general as being eligible under the EEA/Norway Grants. There is a general assumption that POs should already possess the necessary skills and competenc</w:t>
      </w:r>
      <w:r>
        <w:t xml:space="preserve">es required to fulfil their role (including e.g. language skills). </w:t>
      </w:r>
    </w:p>
    <w:p w14:paraId="34865B2A" w14:textId="77777777" w:rsidR="00557DF3" w:rsidRPr="009B7F14" w:rsidRDefault="00557DF3" w:rsidP="00557DF3">
      <w:r w:rsidRPr="009B7F14">
        <w:t>The purchase of stationary, IT supplies or office equipment at the end of the implementation of the Financial Mechanisms period should normally not be eligible.</w:t>
      </w:r>
      <w:r w:rsidR="00832109" w:rsidRPr="00832109">
        <w:t xml:space="preserve"> </w:t>
      </w:r>
      <w:r w:rsidR="00832109" w:rsidRPr="009B7F14">
        <w:t>Also, the eligibility of any kind of professional skills related training should normally not be eligible at the end of the implementation period.</w:t>
      </w:r>
    </w:p>
    <w:p w14:paraId="21642065" w14:textId="0D0FF025" w:rsidR="00960982" w:rsidRPr="009B7F14" w:rsidRDefault="00DB505A" w:rsidP="00920571">
      <w:pPr>
        <w:pStyle w:val="Heading3"/>
      </w:pPr>
      <w:r w:rsidRPr="009B7F14">
        <w:t>P</w:t>
      </w:r>
      <w:r w:rsidR="00960982" w:rsidRPr="009B7F14">
        <w:t>ayments to projects within the programme</w:t>
      </w:r>
    </w:p>
    <w:p w14:paraId="193B76C5" w14:textId="377C62C8" w:rsidR="00960982" w:rsidRPr="009B7F14" w:rsidRDefault="0053068F" w:rsidP="00376576">
      <w:r w:rsidRPr="009B7F14">
        <w:t>Payments</w:t>
      </w:r>
      <w:r w:rsidR="00960982" w:rsidRPr="009B7F14">
        <w:t xml:space="preserve"> to projects within the programme</w:t>
      </w:r>
      <w:r w:rsidRPr="009B7F14">
        <w:t xml:space="preserve"> are eligible expenditure if they are</w:t>
      </w:r>
      <w:r w:rsidR="00960982" w:rsidRPr="009B7F14">
        <w:t xml:space="preserve"> in accordance with the Regulation</w:t>
      </w:r>
      <w:r w:rsidR="00C31032">
        <w:t>s</w:t>
      </w:r>
      <w:r w:rsidR="00960982" w:rsidRPr="009B7F14">
        <w:t xml:space="preserve">, the </w:t>
      </w:r>
      <w:r w:rsidR="005E2D53" w:rsidRPr="009B7F14">
        <w:t>PA</w:t>
      </w:r>
      <w:r w:rsidR="00960982" w:rsidRPr="009B7F14">
        <w:t xml:space="preserve"> and the project contract</w:t>
      </w:r>
      <w:r w:rsidRPr="009B7F14">
        <w:t>.</w:t>
      </w:r>
    </w:p>
    <w:p w14:paraId="0C7774E1" w14:textId="77777777" w:rsidR="00DA7821" w:rsidRPr="009B7F14" w:rsidRDefault="00DA7821" w:rsidP="00920571">
      <w:pPr>
        <w:pStyle w:val="Heading2"/>
      </w:pPr>
      <w:bookmarkStart w:id="30" w:name="_Ref461535811"/>
      <w:bookmarkStart w:id="31" w:name="_Toc484174836"/>
      <w:r w:rsidRPr="009B7F14">
        <w:t xml:space="preserve">Eligible </w:t>
      </w:r>
      <w:r w:rsidR="006A14BA" w:rsidRPr="009B7F14">
        <w:t xml:space="preserve">direct </w:t>
      </w:r>
      <w:r w:rsidR="007C79FB" w:rsidRPr="009B7F14">
        <w:t>expenditure</w:t>
      </w:r>
      <w:r w:rsidR="006A14BA" w:rsidRPr="009B7F14">
        <w:t>s</w:t>
      </w:r>
      <w:r w:rsidR="007C79FB" w:rsidRPr="009B7F14">
        <w:t xml:space="preserve"> of a project (</w:t>
      </w:r>
      <w:r w:rsidR="00CD3B04" w:rsidRPr="009B7F14">
        <w:t xml:space="preserve">Reg. </w:t>
      </w:r>
      <w:r w:rsidR="007C79FB" w:rsidRPr="009B7F14">
        <w:t>Art. 8</w:t>
      </w:r>
      <w:r w:rsidR="006A14BA" w:rsidRPr="009B7F14">
        <w:t>.</w:t>
      </w:r>
      <w:r w:rsidR="007C79FB" w:rsidRPr="009B7F14">
        <w:t>3</w:t>
      </w:r>
      <w:r w:rsidRPr="009B7F14">
        <w:t>)</w:t>
      </w:r>
      <w:bookmarkEnd w:id="30"/>
      <w:bookmarkEnd w:id="31"/>
    </w:p>
    <w:p w14:paraId="5DCB8493" w14:textId="77777777" w:rsidR="00ED182F" w:rsidRPr="009B7F14" w:rsidRDefault="00ED182F" w:rsidP="00376576">
      <w:r w:rsidRPr="009B7F14">
        <w:t xml:space="preserve">Direct costs are all those eligible costs which can be attributed directly to the project and are identified by the </w:t>
      </w:r>
      <w:r w:rsidR="003134A1" w:rsidRPr="009B7F14">
        <w:t>PP</w:t>
      </w:r>
      <w:r w:rsidRPr="009B7F14">
        <w:t xml:space="preserve"> and</w:t>
      </w:r>
      <w:r w:rsidR="00610E19" w:rsidRPr="009B7F14">
        <w:t>/</w:t>
      </w:r>
      <w:r w:rsidRPr="009B7F14">
        <w:t xml:space="preserve">or project partner(s) as such, in accordance with its accounting principles and its usual internal rules. </w:t>
      </w:r>
    </w:p>
    <w:p w14:paraId="63A9D504" w14:textId="77777777" w:rsidR="00ED182F" w:rsidRPr="009B7F14" w:rsidRDefault="00ED182F" w:rsidP="00376576">
      <w:r w:rsidRPr="009B7F14">
        <w:t xml:space="preserve">The following </w:t>
      </w:r>
      <w:r w:rsidR="00BF437C" w:rsidRPr="009B7F14">
        <w:t xml:space="preserve">subsections contain categories of </w:t>
      </w:r>
      <w:r w:rsidRPr="009B7F14">
        <w:t xml:space="preserve">direct expenditure </w:t>
      </w:r>
      <w:r w:rsidR="00BF437C" w:rsidRPr="009B7F14">
        <w:t xml:space="preserve">that </w:t>
      </w:r>
      <w:r w:rsidRPr="009B7F14">
        <w:t>may be considered eligible</w:t>
      </w:r>
      <w:r w:rsidR="00BF437C" w:rsidRPr="009B7F14">
        <w:rPr>
          <w:rStyle w:val="FootnoteReference"/>
        </w:rPr>
        <w:footnoteReference w:id="7"/>
      </w:r>
      <w:r w:rsidR="00F32863" w:rsidRPr="009B7F14">
        <w:t>.</w:t>
      </w:r>
    </w:p>
    <w:p w14:paraId="055DDD96" w14:textId="77777777" w:rsidR="00ED182F" w:rsidRPr="009B7F14" w:rsidRDefault="00ED182F" w:rsidP="00920571">
      <w:pPr>
        <w:pStyle w:val="Heading3"/>
      </w:pPr>
      <w:r w:rsidRPr="009B7F14">
        <w:t>The cost of staff assigned to the project</w:t>
      </w:r>
    </w:p>
    <w:p w14:paraId="7D0A82E1" w14:textId="5F5614AE" w:rsidR="00D93A4B" w:rsidRPr="009B7F14" w:rsidRDefault="00ED182F" w:rsidP="00376576">
      <w:r w:rsidRPr="009B7F14">
        <w:t xml:space="preserve">The cost of staff assigned to the project, comprising actual salaries plus social security charges and other statutory costs included in the remuneration, provided that this corresponds to the </w:t>
      </w:r>
      <w:r w:rsidR="003134A1" w:rsidRPr="009B7F14">
        <w:t>PP</w:t>
      </w:r>
      <w:r w:rsidRPr="009B7F14">
        <w:t>’s and project partner’s usual policy on remuneration.</w:t>
      </w:r>
    </w:p>
    <w:p w14:paraId="174BE535" w14:textId="554D6D6C" w:rsidR="00ED182F" w:rsidRPr="009B7F14" w:rsidRDefault="00ED182F" w:rsidP="00376576">
      <w:r w:rsidRPr="009B7F14">
        <w:t>Only the costs of the actual hours worked by the persons directly carrying out work under the project may be charged. Working time is the total number of hours, excluding holidays, personal time, si</w:t>
      </w:r>
      <w:r w:rsidR="0024407D" w:rsidRPr="009B7F14">
        <w:t xml:space="preserve">ck leave, or other allowances. </w:t>
      </w:r>
      <w:r w:rsidRPr="009B7F14">
        <w:t xml:space="preserve">Working time should be recorded throughout the duration of the project by timesheets or suitable time recording system, adequately supported by evidence of their reality and reliability. </w:t>
      </w:r>
    </w:p>
    <w:p w14:paraId="55A4D248" w14:textId="15F6D537" w:rsidR="00ED182F" w:rsidRPr="009B7F14" w:rsidRDefault="00ED182F" w:rsidP="00376576">
      <w:r w:rsidRPr="009B7F14">
        <w:t>The following principles should also be taken into consideration:</w:t>
      </w:r>
    </w:p>
    <w:p w14:paraId="2F23FE8E" w14:textId="39BC153E" w:rsidR="00ED182F" w:rsidRPr="009B7F14" w:rsidRDefault="00ED182F" w:rsidP="009F01EE">
      <w:pPr>
        <w:pStyle w:val="ListParagraph"/>
        <w:numPr>
          <w:ilvl w:val="0"/>
          <w:numId w:val="5"/>
        </w:numPr>
      </w:pPr>
      <w:r w:rsidRPr="009B7F14">
        <w:t>The existence of the employment/work contract, fee based contract or an appointment decision</w:t>
      </w:r>
    </w:p>
    <w:p w14:paraId="12E964BB" w14:textId="15975EE0" w:rsidR="00ED182F" w:rsidRPr="009B7F14" w:rsidRDefault="00ED182F" w:rsidP="009F01EE">
      <w:pPr>
        <w:pStyle w:val="ListParagraph"/>
        <w:numPr>
          <w:ilvl w:val="0"/>
          <w:numId w:val="5"/>
        </w:numPr>
      </w:pPr>
      <w:r w:rsidRPr="009B7F14">
        <w:t xml:space="preserve">Overtime may be accepted provided that is necessary to the project, in line with the </w:t>
      </w:r>
      <w:r w:rsidR="003134A1" w:rsidRPr="009B7F14">
        <w:t>PP</w:t>
      </w:r>
      <w:r w:rsidRPr="009B7F14">
        <w:t xml:space="preserve">’s and project partner’s usual policy, in line with the national legislation. Systematic overtime payments are not in line with the Regulations’ requirements for proportionality and sound financial management set out in </w:t>
      </w:r>
      <w:r w:rsidR="00CD3B04" w:rsidRPr="009B7F14">
        <w:t xml:space="preserve">Reg. </w:t>
      </w:r>
      <w:r w:rsidR="00DE5468">
        <w:t>Art. 8.2.2</w:t>
      </w:r>
    </w:p>
    <w:p w14:paraId="1ECA16ED" w14:textId="6B1F768A" w:rsidR="00ED182F" w:rsidRPr="009B7F14" w:rsidRDefault="00ED182F" w:rsidP="009F01EE">
      <w:pPr>
        <w:pStyle w:val="ListParagraph"/>
        <w:numPr>
          <w:ilvl w:val="0"/>
          <w:numId w:val="5"/>
        </w:numPr>
      </w:pPr>
      <w:r w:rsidRPr="009B7F14">
        <w:t>Overheads, daily allowances and any other travel related costs cannot be included under this expenditure category</w:t>
      </w:r>
    </w:p>
    <w:p w14:paraId="49DE5664" w14:textId="31136AB2" w:rsidR="00ED182F" w:rsidRPr="009B7F14" w:rsidRDefault="00CA1389" w:rsidP="009F01EE">
      <w:pPr>
        <w:pStyle w:val="ListParagraph"/>
        <w:numPr>
          <w:ilvl w:val="0"/>
          <w:numId w:val="5"/>
        </w:numPr>
      </w:pPr>
      <w:r w:rsidRPr="009B7F14">
        <w:rPr>
          <w:noProof/>
          <w:lang w:eastAsia="en-GB"/>
        </w:rPr>
        <mc:AlternateContent>
          <mc:Choice Requires="wps">
            <w:drawing>
              <wp:anchor distT="45720" distB="45720" distL="114300" distR="114300" simplePos="0" relativeHeight="251676672" behindDoc="0" locked="0" layoutInCell="1" allowOverlap="1" wp14:anchorId="5D82E11F" wp14:editId="2EC73A66">
                <wp:simplePos x="0" y="0"/>
                <wp:positionH relativeFrom="column">
                  <wp:posOffset>0</wp:posOffset>
                </wp:positionH>
                <wp:positionV relativeFrom="paragraph">
                  <wp:posOffset>668020</wp:posOffset>
                </wp:positionV>
                <wp:extent cx="5705475" cy="3057525"/>
                <wp:effectExtent l="0" t="0" r="28575" b="2857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057525"/>
                        </a:xfrm>
                        <a:prstGeom prst="rect">
                          <a:avLst/>
                        </a:prstGeom>
                        <a:solidFill>
                          <a:schemeClr val="bg1"/>
                        </a:solidFill>
                        <a:ln w="9525">
                          <a:solidFill>
                            <a:schemeClr val="tx1"/>
                          </a:solidFill>
                          <a:miter lim="800000"/>
                          <a:headEnd/>
                          <a:tailEnd/>
                        </a:ln>
                      </wps:spPr>
                      <wps:txbx>
                        <w:txbxContent>
                          <w:p w14:paraId="34281CBF" w14:textId="77777777" w:rsidR="00A87AB3" w:rsidRPr="00ED13FE" w:rsidRDefault="00A87AB3" w:rsidP="000F2E1C">
                            <w:pPr>
                              <w:spacing w:after="100" w:afterAutospacing="1" w:line="240" w:lineRule="auto"/>
                              <w:rPr>
                                <w:b/>
                                <w:sz w:val="18"/>
                              </w:rPr>
                            </w:pPr>
                            <w:r w:rsidRPr="00ED13FE">
                              <w:rPr>
                                <w:b/>
                                <w:sz w:val="18"/>
                              </w:rPr>
                              <w:t>Example:</w:t>
                            </w:r>
                          </w:p>
                          <w:tbl>
                            <w:tblPr>
                              <w:tblStyle w:val="TableGrid"/>
                              <w:tblW w:w="5000" w:type="pct"/>
                              <w:tblLook w:val="0480" w:firstRow="0" w:lastRow="0" w:firstColumn="1" w:lastColumn="0" w:noHBand="0" w:noVBand="1"/>
                            </w:tblPr>
                            <w:tblGrid>
                              <w:gridCol w:w="5381"/>
                              <w:gridCol w:w="3292"/>
                            </w:tblGrid>
                            <w:tr w:rsidR="00A87AB3" w:rsidRPr="00ED13FE" w14:paraId="72CEBC66" w14:textId="77777777" w:rsidTr="00F34088">
                              <w:tc>
                                <w:tcPr>
                                  <w:tcW w:w="3102" w:type="pct"/>
                                  <w:vAlign w:val="center"/>
                                </w:tcPr>
                                <w:p w14:paraId="01E38D41" w14:textId="77777777" w:rsidR="00A87AB3" w:rsidRPr="00F34088" w:rsidRDefault="00A87AB3" w:rsidP="00F34088">
                                  <w:pPr>
                                    <w:spacing w:after="100" w:afterAutospacing="1"/>
                                    <w:jc w:val="left"/>
                                    <w:rPr>
                                      <w:b/>
                                      <w:sz w:val="16"/>
                                    </w:rPr>
                                  </w:pPr>
                                  <w:r w:rsidRPr="00F34088">
                                    <w:rPr>
                                      <w:sz w:val="16"/>
                                    </w:rPr>
                                    <w:t>Total days in a year</w:t>
                                  </w:r>
                                </w:p>
                              </w:tc>
                              <w:tc>
                                <w:tcPr>
                                  <w:tcW w:w="1898" w:type="pct"/>
                                  <w:vAlign w:val="center"/>
                                </w:tcPr>
                                <w:p w14:paraId="11AE9D21" w14:textId="77777777" w:rsidR="00A87AB3" w:rsidRPr="00F34088" w:rsidRDefault="00A87AB3" w:rsidP="00F34088">
                                  <w:pPr>
                                    <w:spacing w:after="100" w:afterAutospacing="1"/>
                                    <w:jc w:val="left"/>
                                    <w:rPr>
                                      <w:sz w:val="16"/>
                                    </w:rPr>
                                  </w:pPr>
                                  <w:r w:rsidRPr="00F34088">
                                    <w:rPr>
                                      <w:sz w:val="16"/>
                                    </w:rPr>
                                    <w:t>365</w:t>
                                  </w:r>
                                </w:p>
                              </w:tc>
                            </w:tr>
                            <w:tr w:rsidR="00A87AB3" w:rsidRPr="00ED13FE" w14:paraId="107EBDF3" w14:textId="77777777" w:rsidTr="00F34088">
                              <w:tc>
                                <w:tcPr>
                                  <w:tcW w:w="3102" w:type="pct"/>
                                  <w:vAlign w:val="center"/>
                                </w:tcPr>
                                <w:p w14:paraId="001E9BDB" w14:textId="77777777" w:rsidR="00A87AB3" w:rsidRPr="00F34088" w:rsidRDefault="00A87AB3" w:rsidP="00F34088">
                                  <w:pPr>
                                    <w:spacing w:after="100" w:afterAutospacing="1"/>
                                    <w:jc w:val="left"/>
                                    <w:rPr>
                                      <w:b/>
                                      <w:sz w:val="16"/>
                                    </w:rPr>
                                  </w:pPr>
                                  <w:r w:rsidRPr="00F34088">
                                    <w:rPr>
                                      <w:sz w:val="16"/>
                                    </w:rPr>
                                    <w:t>Weekends</w:t>
                                  </w:r>
                                </w:p>
                              </w:tc>
                              <w:tc>
                                <w:tcPr>
                                  <w:tcW w:w="1898" w:type="pct"/>
                                  <w:vAlign w:val="center"/>
                                </w:tcPr>
                                <w:p w14:paraId="314DCB58" w14:textId="77777777" w:rsidR="00A87AB3" w:rsidRPr="00F34088" w:rsidRDefault="00A87AB3" w:rsidP="00F34088">
                                  <w:pPr>
                                    <w:spacing w:after="100" w:afterAutospacing="1"/>
                                    <w:jc w:val="left"/>
                                    <w:rPr>
                                      <w:sz w:val="16"/>
                                    </w:rPr>
                                  </w:pPr>
                                  <w:r w:rsidRPr="00F34088">
                                    <w:rPr>
                                      <w:sz w:val="16"/>
                                    </w:rPr>
                                    <w:t>-104</w:t>
                                  </w:r>
                                </w:p>
                              </w:tc>
                            </w:tr>
                            <w:tr w:rsidR="00A87AB3" w:rsidRPr="00ED13FE" w14:paraId="42BBDD40" w14:textId="77777777" w:rsidTr="00F34088">
                              <w:tc>
                                <w:tcPr>
                                  <w:tcW w:w="3102" w:type="pct"/>
                                  <w:vAlign w:val="center"/>
                                </w:tcPr>
                                <w:p w14:paraId="6949C002" w14:textId="77777777" w:rsidR="00A87AB3" w:rsidRPr="00F34088" w:rsidRDefault="00A87AB3" w:rsidP="00F34088">
                                  <w:pPr>
                                    <w:spacing w:after="100" w:afterAutospacing="1"/>
                                    <w:jc w:val="left"/>
                                    <w:rPr>
                                      <w:b/>
                                      <w:sz w:val="16"/>
                                    </w:rPr>
                                  </w:pPr>
                                  <w:r w:rsidRPr="00F34088">
                                    <w:rPr>
                                      <w:sz w:val="16"/>
                                    </w:rPr>
                                    <w:t>Annual holidays</w:t>
                                  </w:r>
                                </w:p>
                              </w:tc>
                              <w:tc>
                                <w:tcPr>
                                  <w:tcW w:w="1898" w:type="pct"/>
                                  <w:vAlign w:val="center"/>
                                </w:tcPr>
                                <w:p w14:paraId="4D57F76D" w14:textId="77777777" w:rsidR="00A87AB3" w:rsidRPr="00F34088" w:rsidRDefault="00A87AB3" w:rsidP="00F34088">
                                  <w:pPr>
                                    <w:spacing w:after="100" w:afterAutospacing="1"/>
                                    <w:jc w:val="left"/>
                                    <w:rPr>
                                      <w:sz w:val="16"/>
                                    </w:rPr>
                                  </w:pPr>
                                  <w:r w:rsidRPr="00F34088">
                                    <w:rPr>
                                      <w:sz w:val="16"/>
                                    </w:rPr>
                                    <w:t>-21</w:t>
                                  </w:r>
                                </w:p>
                              </w:tc>
                            </w:tr>
                            <w:tr w:rsidR="00A87AB3" w:rsidRPr="00ED13FE" w14:paraId="28D92C1A" w14:textId="77777777" w:rsidTr="00F34088">
                              <w:tc>
                                <w:tcPr>
                                  <w:tcW w:w="3102" w:type="pct"/>
                                  <w:vAlign w:val="center"/>
                                </w:tcPr>
                                <w:p w14:paraId="3C23B31F" w14:textId="77777777" w:rsidR="00A87AB3" w:rsidRPr="00F34088" w:rsidRDefault="00A87AB3" w:rsidP="00F34088">
                                  <w:pPr>
                                    <w:spacing w:after="100" w:afterAutospacing="1"/>
                                    <w:jc w:val="left"/>
                                    <w:rPr>
                                      <w:b/>
                                      <w:sz w:val="16"/>
                                    </w:rPr>
                                  </w:pPr>
                                  <w:r w:rsidRPr="00F34088">
                                    <w:rPr>
                                      <w:sz w:val="16"/>
                                    </w:rPr>
                                    <w:t>Statutory holidays</w:t>
                                  </w:r>
                                </w:p>
                              </w:tc>
                              <w:tc>
                                <w:tcPr>
                                  <w:tcW w:w="1898" w:type="pct"/>
                                  <w:vAlign w:val="center"/>
                                </w:tcPr>
                                <w:p w14:paraId="409B820E" w14:textId="77777777" w:rsidR="00A87AB3" w:rsidRPr="00F34088" w:rsidRDefault="00A87AB3" w:rsidP="00F34088">
                                  <w:pPr>
                                    <w:spacing w:after="100" w:afterAutospacing="1"/>
                                    <w:jc w:val="left"/>
                                    <w:rPr>
                                      <w:sz w:val="16"/>
                                    </w:rPr>
                                  </w:pPr>
                                  <w:r w:rsidRPr="00F34088">
                                    <w:rPr>
                                      <w:sz w:val="16"/>
                                    </w:rPr>
                                    <w:t>-15</w:t>
                                  </w:r>
                                </w:p>
                              </w:tc>
                            </w:tr>
                            <w:tr w:rsidR="00A87AB3" w:rsidRPr="00ED13FE" w14:paraId="4C93D200" w14:textId="77777777" w:rsidTr="00F34088">
                              <w:tc>
                                <w:tcPr>
                                  <w:tcW w:w="3102" w:type="pct"/>
                                  <w:vAlign w:val="center"/>
                                </w:tcPr>
                                <w:p w14:paraId="2E7DB332" w14:textId="77777777" w:rsidR="00A87AB3" w:rsidRPr="00F34088" w:rsidRDefault="00A87AB3" w:rsidP="00F34088">
                                  <w:pPr>
                                    <w:spacing w:after="100" w:afterAutospacing="1"/>
                                    <w:jc w:val="left"/>
                                    <w:rPr>
                                      <w:b/>
                                      <w:sz w:val="16"/>
                                    </w:rPr>
                                  </w:pPr>
                                  <w:r w:rsidRPr="00F34088">
                                    <w:rPr>
                                      <w:sz w:val="16"/>
                                    </w:rPr>
                                    <w:t>Illness / Other</w:t>
                                  </w:r>
                                </w:p>
                              </w:tc>
                              <w:tc>
                                <w:tcPr>
                                  <w:tcW w:w="1898" w:type="pct"/>
                                  <w:vAlign w:val="center"/>
                                </w:tcPr>
                                <w:p w14:paraId="27503F29" w14:textId="77777777" w:rsidR="00A87AB3" w:rsidRPr="00F34088" w:rsidRDefault="00A87AB3" w:rsidP="00F34088">
                                  <w:pPr>
                                    <w:spacing w:after="100" w:afterAutospacing="1"/>
                                    <w:jc w:val="left"/>
                                    <w:rPr>
                                      <w:sz w:val="16"/>
                                    </w:rPr>
                                  </w:pPr>
                                  <w:r w:rsidRPr="00F34088">
                                    <w:rPr>
                                      <w:sz w:val="16"/>
                                    </w:rPr>
                                    <w:t>-15</w:t>
                                  </w:r>
                                </w:p>
                              </w:tc>
                            </w:tr>
                            <w:tr w:rsidR="00A87AB3" w:rsidRPr="00ED13FE" w14:paraId="06C5B9B2" w14:textId="77777777" w:rsidTr="00F34088">
                              <w:tc>
                                <w:tcPr>
                                  <w:tcW w:w="3102" w:type="pct"/>
                                  <w:vAlign w:val="center"/>
                                </w:tcPr>
                                <w:p w14:paraId="5DEC1620" w14:textId="77777777" w:rsidR="00A87AB3" w:rsidRPr="00F34088" w:rsidRDefault="00A87AB3" w:rsidP="00F34088">
                                  <w:pPr>
                                    <w:spacing w:after="100" w:afterAutospacing="1"/>
                                    <w:jc w:val="left"/>
                                    <w:rPr>
                                      <w:b/>
                                      <w:sz w:val="16"/>
                                    </w:rPr>
                                  </w:pPr>
                                  <w:r w:rsidRPr="00F34088">
                                    <w:rPr>
                                      <w:sz w:val="16"/>
                                    </w:rPr>
                                    <w:t>Workable days in a year</w:t>
                                  </w:r>
                                </w:p>
                              </w:tc>
                              <w:tc>
                                <w:tcPr>
                                  <w:tcW w:w="1898" w:type="pct"/>
                                  <w:vAlign w:val="center"/>
                                </w:tcPr>
                                <w:p w14:paraId="4519B872" w14:textId="77777777" w:rsidR="00A87AB3" w:rsidRPr="00F34088" w:rsidRDefault="00A87AB3" w:rsidP="00F34088">
                                  <w:pPr>
                                    <w:spacing w:after="100" w:afterAutospacing="1"/>
                                    <w:jc w:val="left"/>
                                    <w:rPr>
                                      <w:sz w:val="16"/>
                                    </w:rPr>
                                  </w:pPr>
                                  <w:r w:rsidRPr="00F34088">
                                    <w:rPr>
                                      <w:sz w:val="16"/>
                                    </w:rPr>
                                    <w:t>210</w:t>
                                  </w:r>
                                </w:p>
                              </w:tc>
                            </w:tr>
                            <w:tr w:rsidR="00A87AB3" w:rsidRPr="00ED13FE" w14:paraId="6D53332B" w14:textId="77777777" w:rsidTr="00F34088">
                              <w:tc>
                                <w:tcPr>
                                  <w:tcW w:w="3102" w:type="pct"/>
                                  <w:vAlign w:val="center"/>
                                </w:tcPr>
                                <w:p w14:paraId="6A7191B1" w14:textId="77777777" w:rsidR="00A87AB3" w:rsidRPr="00F34088" w:rsidRDefault="00A87AB3" w:rsidP="00F34088">
                                  <w:pPr>
                                    <w:spacing w:after="100" w:afterAutospacing="1"/>
                                    <w:jc w:val="left"/>
                                    <w:rPr>
                                      <w:b/>
                                      <w:sz w:val="16"/>
                                    </w:rPr>
                                  </w:pPr>
                                  <w:r w:rsidRPr="00F34088">
                                    <w:rPr>
                                      <w:sz w:val="16"/>
                                    </w:rPr>
                                    <w:t>Total productive hours</w:t>
                                  </w:r>
                                </w:p>
                              </w:tc>
                              <w:tc>
                                <w:tcPr>
                                  <w:tcW w:w="1898" w:type="pct"/>
                                  <w:vAlign w:val="center"/>
                                </w:tcPr>
                                <w:p w14:paraId="21EF1DB3" w14:textId="58D56631" w:rsidR="00A87AB3" w:rsidRPr="00F34088" w:rsidRDefault="00A87AB3" w:rsidP="007A1507">
                                  <w:pPr>
                                    <w:spacing w:after="100" w:afterAutospacing="1"/>
                                    <w:jc w:val="left"/>
                                    <w:rPr>
                                      <w:sz w:val="16"/>
                                    </w:rPr>
                                  </w:pPr>
                                  <w:r w:rsidRPr="00F34088">
                                    <w:rPr>
                                      <w:sz w:val="16"/>
                                    </w:rPr>
                                    <w:t>210 x 7.5 hours = 1</w:t>
                                  </w:r>
                                  <w:r>
                                    <w:rPr>
                                      <w:sz w:val="16"/>
                                    </w:rPr>
                                    <w:t>,</w:t>
                                  </w:r>
                                  <w:r w:rsidRPr="00F34088">
                                    <w:rPr>
                                      <w:sz w:val="16"/>
                                    </w:rPr>
                                    <w:t>575 hours</w:t>
                                  </w:r>
                                </w:p>
                              </w:tc>
                            </w:tr>
                            <w:tr w:rsidR="00A87AB3" w:rsidRPr="00ED13FE" w14:paraId="52273161" w14:textId="77777777" w:rsidTr="00F34088">
                              <w:tc>
                                <w:tcPr>
                                  <w:tcW w:w="3102" w:type="pct"/>
                                  <w:vAlign w:val="center"/>
                                </w:tcPr>
                                <w:p w14:paraId="2BDEDBFA" w14:textId="77777777" w:rsidR="00A87AB3" w:rsidRPr="00F34088" w:rsidRDefault="00A87AB3" w:rsidP="00F34088">
                                  <w:pPr>
                                    <w:spacing w:after="100" w:afterAutospacing="1"/>
                                    <w:jc w:val="left"/>
                                    <w:rPr>
                                      <w:b/>
                                      <w:sz w:val="16"/>
                                    </w:rPr>
                                  </w:pPr>
                                  <w:r w:rsidRPr="00F34088">
                                    <w:rPr>
                                      <w:sz w:val="16"/>
                                    </w:rPr>
                                    <w:t>Total salary (statutory costs, including holiday pay, etc.)</w:t>
                                  </w:r>
                                </w:p>
                              </w:tc>
                              <w:tc>
                                <w:tcPr>
                                  <w:tcW w:w="1898" w:type="pct"/>
                                  <w:vAlign w:val="center"/>
                                </w:tcPr>
                                <w:p w14:paraId="1FA9DA44" w14:textId="0875566D" w:rsidR="00A87AB3" w:rsidRPr="00F34088" w:rsidRDefault="00A87AB3" w:rsidP="007A1507">
                                  <w:pPr>
                                    <w:spacing w:after="100" w:afterAutospacing="1"/>
                                    <w:jc w:val="left"/>
                                    <w:rPr>
                                      <w:sz w:val="16"/>
                                    </w:rPr>
                                  </w:pPr>
                                  <w:r w:rsidRPr="00F34088">
                                    <w:rPr>
                                      <w:sz w:val="16"/>
                                    </w:rPr>
                                    <w:t>€</w:t>
                                  </w:r>
                                  <w:r>
                                    <w:rPr>
                                      <w:sz w:val="16"/>
                                    </w:rPr>
                                    <w:t xml:space="preserve"> </w:t>
                                  </w:r>
                                  <w:r w:rsidRPr="00F34088">
                                    <w:rPr>
                                      <w:sz w:val="16"/>
                                    </w:rPr>
                                    <w:t>30</w:t>
                                  </w:r>
                                  <w:r>
                                    <w:rPr>
                                      <w:sz w:val="16"/>
                                    </w:rPr>
                                    <w:t>,</w:t>
                                  </w:r>
                                  <w:r w:rsidRPr="00F34088">
                                    <w:rPr>
                                      <w:sz w:val="16"/>
                                    </w:rPr>
                                    <w:t>000 / year</w:t>
                                  </w:r>
                                </w:p>
                              </w:tc>
                            </w:tr>
                            <w:tr w:rsidR="00A87AB3" w:rsidRPr="00ED13FE" w14:paraId="1764541B" w14:textId="77777777" w:rsidTr="00F34088">
                              <w:tc>
                                <w:tcPr>
                                  <w:tcW w:w="3102" w:type="pct"/>
                                  <w:vAlign w:val="center"/>
                                </w:tcPr>
                                <w:p w14:paraId="449E2570" w14:textId="77777777" w:rsidR="00A87AB3" w:rsidRPr="00F34088" w:rsidRDefault="00A87AB3" w:rsidP="00F34088">
                                  <w:pPr>
                                    <w:spacing w:after="100" w:afterAutospacing="1"/>
                                    <w:jc w:val="left"/>
                                    <w:rPr>
                                      <w:b/>
                                      <w:sz w:val="16"/>
                                    </w:rPr>
                                  </w:pPr>
                                  <w:r w:rsidRPr="00F34088">
                                    <w:rPr>
                                      <w:sz w:val="16"/>
                                    </w:rPr>
                                    <w:t>Hourly rate</w:t>
                                  </w:r>
                                </w:p>
                              </w:tc>
                              <w:tc>
                                <w:tcPr>
                                  <w:tcW w:w="1898" w:type="pct"/>
                                  <w:vAlign w:val="center"/>
                                </w:tcPr>
                                <w:p w14:paraId="020F134E" w14:textId="325F97C6" w:rsidR="00A87AB3" w:rsidRPr="00F34088" w:rsidRDefault="00A87AB3" w:rsidP="007A1507">
                                  <w:pPr>
                                    <w:spacing w:after="100" w:afterAutospacing="1"/>
                                    <w:jc w:val="left"/>
                                    <w:rPr>
                                      <w:sz w:val="16"/>
                                    </w:rPr>
                                  </w:pPr>
                                  <w:r w:rsidRPr="00F34088">
                                    <w:rPr>
                                      <w:sz w:val="16"/>
                                    </w:rPr>
                                    <w:t>€</w:t>
                                  </w:r>
                                  <w:r>
                                    <w:rPr>
                                      <w:sz w:val="16"/>
                                    </w:rPr>
                                    <w:t xml:space="preserve"> </w:t>
                                  </w:r>
                                  <w:r w:rsidRPr="00F34088">
                                    <w:rPr>
                                      <w:sz w:val="16"/>
                                    </w:rPr>
                                    <w:t>30</w:t>
                                  </w:r>
                                  <w:r>
                                    <w:rPr>
                                      <w:sz w:val="16"/>
                                    </w:rPr>
                                    <w:t>,</w:t>
                                  </w:r>
                                  <w:r w:rsidRPr="00F34088">
                                    <w:rPr>
                                      <w:sz w:val="16"/>
                                    </w:rPr>
                                    <w:t>000 / 1 575 = €</w:t>
                                  </w:r>
                                  <w:r>
                                    <w:rPr>
                                      <w:sz w:val="16"/>
                                    </w:rPr>
                                    <w:t xml:space="preserve"> </w:t>
                                  </w:r>
                                  <w:r w:rsidRPr="00F34088">
                                    <w:rPr>
                                      <w:sz w:val="16"/>
                                    </w:rPr>
                                    <w:t>19 per hour</w:t>
                                  </w:r>
                                </w:p>
                              </w:tc>
                            </w:tr>
                            <w:tr w:rsidR="00A87AB3" w:rsidRPr="00ED13FE" w14:paraId="2B6E831B" w14:textId="77777777" w:rsidTr="00F34088">
                              <w:tc>
                                <w:tcPr>
                                  <w:tcW w:w="3102" w:type="pct"/>
                                  <w:vAlign w:val="center"/>
                                </w:tcPr>
                                <w:p w14:paraId="7EFB4F32" w14:textId="77777777" w:rsidR="00A87AB3" w:rsidRPr="00F34088" w:rsidRDefault="00A87AB3" w:rsidP="00F34088">
                                  <w:pPr>
                                    <w:spacing w:after="100" w:afterAutospacing="1"/>
                                    <w:jc w:val="left"/>
                                    <w:rPr>
                                      <w:b/>
                                      <w:sz w:val="16"/>
                                    </w:rPr>
                                  </w:pPr>
                                  <w:r w:rsidRPr="00F34088">
                                    <w:rPr>
                                      <w:sz w:val="16"/>
                                    </w:rPr>
                                    <w:t>Total hours worked for the project</w:t>
                                  </w:r>
                                </w:p>
                              </w:tc>
                              <w:tc>
                                <w:tcPr>
                                  <w:tcW w:w="1898" w:type="pct"/>
                                  <w:vAlign w:val="center"/>
                                </w:tcPr>
                                <w:p w14:paraId="0A1A3BA3" w14:textId="77777777" w:rsidR="00A87AB3" w:rsidRPr="00F34088" w:rsidRDefault="00A87AB3" w:rsidP="00F34088">
                                  <w:pPr>
                                    <w:spacing w:after="100" w:afterAutospacing="1"/>
                                    <w:jc w:val="left"/>
                                    <w:rPr>
                                      <w:sz w:val="16"/>
                                    </w:rPr>
                                  </w:pPr>
                                  <w:r w:rsidRPr="00F34088">
                                    <w:rPr>
                                      <w:sz w:val="16"/>
                                    </w:rPr>
                                    <w:t>650</w:t>
                                  </w:r>
                                </w:p>
                              </w:tc>
                            </w:tr>
                            <w:tr w:rsidR="00A87AB3" w:rsidRPr="00ED13FE" w14:paraId="2066AFFF" w14:textId="77777777" w:rsidTr="00F34088">
                              <w:tc>
                                <w:tcPr>
                                  <w:tcW w:w="3102" w:type="pct"/>
                                  <w:vAlign w:val="center"/>
                                </w:tcPr>
                                <w:p w14:paraId="49A860B3" w14:textId="77777777" w:rsidR="00A87AB3" w:rsidRPr="00F34088" w:rsidRDefault="00A87AB3" w:rsidP="00F34088">
                                  <w:pPr>
                                    <w:spacing w:after="100" w:afterAutospacing="1"/>
                                    <w:jc w:val="left"/>
                                    <w:rPr>
                                      <w:b/>
                                      <w:sz w:val="16"/>
                                    </w:rPr>
                                  </w:pPr>
                                  <w:r w:rsidRPr="00F34088">
                                    <w:rPr>
                                      <w:sz w:val="16"/>
                                    </w:rPr>
                                    <w:t>Total costs charged to the project</w:t>
                                  </w:r>
                                </w:p>
                              </w:tc>
                              <w:tc>
                                <w:tcPr>
                                  <w:tcW w:w="1898" w:type="pct"/>
                                  <w:vAlign w:val="center"/>
                                </w:tcPr>
                                <w:p w14:paraId="5B928E37" w14:textId="184E59A7" w:rsidR="00A87AB3" w:rsidRPr="00F34088" w:rsidRDefault="00A87AB3" w:rsidP="007A1507">
                                  <w:pPr>
                                    <w:spacing w:after="100" w:afterAutospacing="1"/>
                                    <w:jc w:val="left"/>
                                    <w:rPr>
                                      <w:sz w:val="16"/>
                                    </w:rPr>
                                  </w:pPr>
                                  <w:r w:rsidRPr="00F34088">
                                    <w:rPr>
                                      <w:sz w:val="16"/>
                                    </w:rPr>
                                    <w:t>650 x €19 = €</w:t>
                                  </w:r>
                                  <w:r>
                                    <w:rPr>
                                      <w:sz w:val="16"/>
                                    </w:rPr>
                                    <w:t xml:space="preserve"> </w:t>
                                  </w:r>
                                  <w:r w:rsidRPr="00F34088">
                                    <w:rPr>
                                      <w:sz w:val="16"/>
                                    </w:rPr>
                                    <w:t>12</w:t>
                                  </w:r>
                                  <w:r>
                                    <w:rPr>
                                      <w:sz w:val="16"/>
                                    </w:rPr>
                                    <w:t>,</w:t>
                                  </w:r>
                                  <w:r w:rsidRPr="00F34088">
                                    <w:rPr>
                                      <w:sz w:val="16"/>
                                    </w:rPr>
                                    <w:t>350</w:t>
                                  </w:r>
                                </w:p>
                              </w:tc>
                            </w:tr>
                          </w:tbl>
                          <w:p w14:paraId="1E7A7F36" w14:textId="77777777" w:rsidR="00A87AB3" w:rsidRPr="00ED13FE" w:rsidRDefault="00A87AB3" w:rsidP="000F2E1C">
                            <w:pPr>
                              <w:spacing w:line="240" w:lineRule="auto"/>
                              <w:rPr>
                                <w:sz w:val="16"/>
                              </w:rPr>
                            </w:pPr>
                            <w:r w:rsidRPr="00ED13FE">
                              <w:rPr>
                                <w:sz w:val="16"/>
                              </w:rPr>
                              <w:t xml:space="preserve">Statutory costs include social security and other (usual) allowances. </w:t>
                            </w:r>
                          </w:p>
                          <w:p w14:paraId="5C6F0F96" w14:textId="77777777" w:rsidR="00A87AB3" w:rsidRPr="00ED13FE" w:rsidRDefault="00A87AB3">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2E11F" id="_x0000_s1036" type="#_x0000_t202" style="position:absolute;left:0;text-align:left;margin-left:0;margin-top:52.6pt;width:449.25pt;height:240.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" fillcolor="white [3212]" strokecolor="black [3213]">
                <v:textbox>
                  <w:txbxContent>
                    <w:p w14:paraId="34281CBF" w14:textId="77777777" w:rsidR="00A87AB3" w:rsidRPr="00ED13FE" w:rsidRDefault="00A87AB3" w:rsidP="000F2E1C">
                      <w:pPr>
                        <w:spacing w:after="100" w:afterAutospacing="1" w:line="240" w:lineRule="auto"/>
                        <w:rPr>
                          <w:b/>
                          <w:sz w:val="18"/>
                        </w:rPr>
                      </w:pPr>
                      <w:r w:rsidRPr="00ED13FE">
                        <w:rPr>
                          <w:b/>
                          <w:sz w:val="18"/>
                        </w:rPr>
                        <w:t>Example:</w:t>
                      </w:r>
                    </w:p>
                    <w:tbl>
                      <w:tblPr>
                        <w:tblStyle w:val="TableGrid"/>
                        <w:tblW w:w="5000" w:type="pct"/>
                        <w:tblLook w:val="0480" w:firstRow="0" w:lastRow="0" w:firstColumn="1" w:lastColumn="0" w:noHBand="0" w:noVBand="1"/>
                      </w:tblPr>
                      <w:tblGrid>
                        <w:gridCol w:w="5381"/>
                        <w:gridCol w:w="3292"/>
                      </w:tblGrid>
                      <w:tr w:rsidR="00A87AB3" w:rsidRPr="00ED13FE" w14:paraId="72CEBC66" w14:textId="77777777" w:rsidTr="00F34088">
                        <w:tc>
                          <w:tcPr>
                            <w:tcW w:w="3102" w:type="pct"/>
                            <w:vAlign w:val="center"/>
                          </w:tcPr>
                          <w:p w14:paraId="01E38D41" w14:textId="77777777" w:rsidR="00A87AB3" w:rsidRPr="00F34088" w:rsidRDefault="00A87AB3" w:rsidP="00F34088">
                            <w:pPr>
                              <w:spacing w:after="100" w:afterAutospacing="1"/>
                              <w:jc w:val="left"/>
                              <w:rPr>
                                <w:b/>
                                <w:sz w:val="16"/>
                              </w:rPr>
                            </w:pPr>
                            <w:r w:rsidRPr="00F34088">
                              <w:rPr>
                                <w:sz w:val="16"/>
                              </w:rPr>
                              <w:t>Total days in a year</w:t>
                            </w:r>
                          </w:p>
                        </w:tc>
                        <w:tc>
                          <w:tcPr>
                            <w:tcW w:w="1898" w:type="pct"/>
                            <w:vAlign w:val="center"/>
                          </w:tcPr>
                          <w:p w14:paraId="11AE9D21" w14:textId="77777777" w:rsidR="00A87AB3" w:rsidRPr="00F34088" w:rsidRDefault="00A87AB3" w:rsidP="00F34088">
                            <w:pPr>
                              <w:spacing w:after="100" w:afterAutospacing="1"/>
                              <w:jc w:val="left"/>
                              <w:rPr>
                                <w:sz w:val="16"/>
                              </w:rPr>
                            </w:pPr>
                            <w:r w:rsidRPr="00F34088">
                              <w:rPr>
                                <w:sz w:val="16"/>
                              </w:rPr>
                              <w:t>365</w:t>
                            </w:r>
                          </w:p>
                        </w:tc>
                      </w:tr>
                      <w:tr w:rsidR="00A87AB3" w:rsidRPr="00ED13FE" w14:paraId="107EBDF3" w14:textId="77777777" w:rsidTr="00F34088">
                        <w:tc>
                          <w:tcPr>
                            <w:tcW w:w="3102" w:type="pct"/>
                            <w:vAlign w:val="center"/>
                          </w:tcPr>
                          <w:p w14:paraId="001E9BDB" w14:textId="77777777" w:rsidR="00A87AB3" w:rsidRPr="00F34088" w:rsidRDefault="00A87AB3" w:rsidP="00F34088">
                            <w:pPr>
                              <w:spacing w:after="100" w:afterAutospacing="1"/>
                              <w:jc w:val="left"/>
                              <w:rPr>
                                <w:b/>
                                <w:sz w:val="16"/>
                              </w:rPr>
                            </w:pPr>
                            <w:r w:rsidRPr="00F34088">
                              <w:rPr>
                                <w:sz w:val="16"/>
                              </w:rPr>
                              <w:t>Weekends</w:t>
                            </w:r>
                          </w:p>
                        </w:tc>
                        <w:tc>
                          <w:tcPr>
                            <w:tcW w:w="1898" w:type="pct"/>
                            <w:vAlign w:val="center"/>
                          </w:tcPr>
                          <w:p w14:paraId="314DCB58" w14:textId="77777777" w:rsidR="00A87AB3" w:rsidRPr="00F34088" w:rsidRDefault="00A87AB3" w:rsidP="00F34088">
                            <w:pPr>
                              <w:spacing w:after="100" w:afterAutospacing="1"/>
                              <w:jc w:val="left"/>
                              <w:rPr>
                                <w:sz w:val="16"/>
                              </w:rPr>
                            </w:pPr>
                            <w:r w:rsidRPr="00F34088">
                              <w:rPr>
                                <w:sz w:val="16"/>
                              </w:rPr>
                              <w:t>-104</w:t>
                            </w:r>
                          </w:p>
                        </w:tc>
                      </w:tr>
                      <w:tr w:rsidR="00A87AB3" w:rsidRPr="00ED13FE" w14:paraId="42BBDD40" w14:textId="77777777" w:rsidTr="00F34088">
                        <w:tc>
                          <w:tcPr>
                            <w:tcW w:w="3102" w:type="pct"/>
                            <w:vAlign w:val="center"/>
                          </w:tcPr>
                          <w:p w14:paraId="6949C002" w14:textId="77777777" w:rsidR="00A87AB3" w:rsidRPr="00F34088" w:rsidRDefault="00A87AB3" w:rsidP="00F34088">
                            <w:pPr>
                              <w:spacing w:after="100" w:afterAutospacing="1"/>
                              <w:jc w:val="left"/>
                              <w:rPr>
                                <w:b/>
                                <w:sz w:val="16"/>
                              </w:rPr>
                            </w:pPr>
                            <w:r w:rsidRPr="00F34088">
                              <w:rPr>
                                <w:sz w:val="16"/>
                              </w:rPr>
                              <w:t>Annual holidays</w:t>
                            </w:r>
                          </w:p>
                        </w:tc>
                        <w:tc>
                          <w:tcPr>
                            <w:tcW w:w="1898" w:type="pct"/>
                            <w:vAlign w:val="center"/>
                          </w:tcPr>
                          <w:p w14:paraId="4D57F76D" w14:textId="77777777" w:rsidR="00A87AB3" w:rsidRPr="00F34088" w:rsidRDefault="00A87AB3" w:rsidP="00F34088">
                            <w:pPr>
                              <w:spacing w:after="100" w:afterAutospacing="1"/>
                              <w:jc w:val="left"/>
                              <w:rPr>
                                <w:sz w:val="16"/>
                              </w:rPr>
                            </w:pPr>
                            <w:r w:rsidRPr="00F34088">
                              <w:rPr>
                                <w:sz w:val="16"/>
                              </w:rPr>
                              <w:t>-21</w:t>
                            </w:r>
                          </w:p>
                        </w:tc>
                      </w:tr>
                      <w:tr w:rsidR="00A87AB3" w:rsidRPr="00ED13FE" w14:paraId="28D92C1A" w14:textId="77777777" w:rsidTr="00F34088">
                        <w:tc>
                          <w:tcPr>
                            <w:tcW w:w="3102" w:type="pct"/>
                            <w:vAlign w:val="center"/>
                          </w:tcPr>
                          <w:p w14:paraId="3C23B31F" w14:textId="77777777" w:rsidR="00A87AB3" w:rsidRPr="00F34088" w:rsidRDefault="00A87AB3" w:rsidP="00F34088">
                            <w:pPr>
                              <w:spacing w:after="100" w:afterAutospacing="1"/>
                              <w:jc w:val="left"/>
                              <w:rPr>
                                <w:b/>
                                <w:sz w:val="16"/>
                              </w:rPr>
                            </w:pPr>
                            <w:r w:rsidRPr="00F34088">
                              <w:rPr>
                                <w:sz w:val="16"/>
                              </w:rPr>
                              <w:t>Statutory holidays</w:t>
                            </w:r>
                          </w:p>
                        </w:tc>
                        <w:tc>
                          <w:tcPr>
                            <w:tcW w:w="1898" w:type="pct"/>
                            <w:vAlign w:val="center"/>
                          </w:tcPr>
                          <w:p w14:paraId="409B820E" w14:textId="77777777" w:rsidR="00A87AB3" w:rsidRPr="00F34088" w:rsidRDefault="00A87AB3" w:rsidP="00F34088">
                            <w:pPr>
                              <w:spacing w:after="100" w:afterAutospacing="1"/>
                              <w:jc w:val="left"/>
                              <w:rPr>
                                <w:sz w:val="16"/>
                              </w:rPr>
                            </w:pPr>
                            <w:r w:rsidRPr="00F34088">
                              <w:rPr>
                                <w:sz w:val="16"/>
                              </w:rPr>
                              <w:t>-15</w:t>
                            </w:r>
                          </w:p>
                        </w:tc>
                      </w:tr>
                      <w:tr w:rsidR="00A87AB3" w:rsidRPr="00ED13FE" w14:paraId="4C93D200" w14:textId="77777777" w:rsidTr="00F34088">
                        <w:tc>
                          <w:tcPr>
                            <w:tcW w:w="3102" w:type="pct"/>
                            <w:vAlign w:val="center"/>
                          </w:tcPr>
                          <w:p w14:paraId="2E7DB332" w14:textId="77777777" w:rsidR="00A87AB3" w:rsidRPr="00F34088" w:rsidRDefault="00A87AB3" w:rsidP="00F34088">
                            <w:pPr>
                              <w:spacing w:after="100" w:afterAutospacing="1"/>
                              <w:jc w:val="left"/>
                              <w:rPr>
                                <w:b/>
                                <w:sz w:val="16"/>
                              </w:rPr>
                            </w:pPr>
                            <w:r w:rsidRPr="00F34088">
                              <w:rPr>
                                <w:sz w:val="16"/>
                              </w:rPr>
                              <w:t>Illness / Other</w:t>
                            </w:r>
                          </w:p>
                        </w:tc>
                        <w:tc>
                          <w:tcPr>
                            <w:tcW w:w="1898" w:type="pct"/>
                            <w:vAlign w:val="center"/>
                          </w:tcPr>
                          <w:p w14:paraId="27503F29" w14:textId="77777777" w:rsidR="00A87AB3" w:rsidRPr="00F34088" w:rsidRDefault="00A87AB3" w:rsidP="00F34088">
                            <w:pPr>
                              <w:spacing w:after="100" w:afterAutospacing="1"/>
                              <w:jc w:val="left"/>
                              <w:rPr>
                                <w:sz w:val="16"/>
                              </w:rPr>
                            </w:pPr>
                            <w:r w:rsidRPr="00F34088">
                              <w:rPr>
                                <w:sz w:val="16"/>
                              </w:rPr>
                              <w:t>-15</w:t>
                            </w:r>
                          </w:p>
                        </w:tc>
                      </w:tr>
                      <w:tr w:rsidR="00A87AB3" w:rsidRPr="00ED13FE" w14:paraId="06C5B9B2" w14:textId="77777777" w:rsidTr="00F34088">
                        <w:tc>
                          <w:tcPr>
                            <w:tcW w:w="3102" w:type="pct"/>
                            <w:vAlign w:val="center"/>
                          </w:tcPr>
                          <w:p w14:paraId="5DEC1620" w14:textId="77777777" w:rsidR="00A87AB3" w:rsidRPr="00F34088" w:rsidRDefault="00A87AB3" w:rsidP="00F34088">
                            <w:pPr>
                              <w:spacing w:after="100" w:afterAutospacing="1"/>
                              <w:jc w:val="left"/>
                              <w:rPr>
                                <w:b/>
                                <w:sz w:val="16"/>
                              </w:rPr>
                            </w:pPr>
                            <w:r w:rsidRPr="00F34088">
                              <w:rPr>
                                <w:sz w:val="16"/>
                              </w:rPr>
                              <w:t>Workable days in a year</w:t>
                            </w:r>
                          </w:p>
                        </w:tc>
                        <w:tc>
                          <w:tcPr>
                            <w:tcW w:w="1898" w:type="pct"/>
                            <w:vAlign w:val="center"/>
                          </w:tcPr>
                          <w:p w14:paraId="4519B872" w14:textId="77777777" w:rsidR="00A87AB3" w:rsidRPr="00F34088" w:rsidRDefault="00A87AB3" w:rsidP="00F34088">
                            <w:pPr>
                              <w:spacing w:after="100" w:afterAutospacing="1"/>
                              <w:jc w:val="left"/>
                              <w:rPr>
                                <w:sz w:val="16"/>
                              </w:rPr>
                            </w:pPr>
                            <w:r w:rsidRPr="00F34088">
                              <w:rPr>
                                <w:sz w:val="16"/>
                              </w:rPr>
                              <w:t>210</w:t>
                            </w:r>
                          </w:p>
                        </w:tc>
                      </w:tr>
                      <w:tr w:rsidR="00A87AB3" w:rsidRPr="00ED13FE" w14:paraId="6D53332B" w14:textId="77777777" w:rsidTr="00F34088">
                        <w:tc>
                          <w:tcPr>
                            <w:tcW w:w="3102" w:type="pct"/>
                            <w:vAlign w:val="center"/>
                          </w:tcPr>
                          <w:p w14:paraId="6A7191B1" w14:textId="77777777" w:rsidR="00A87AB3" w:rsidRPr="00F34088" w:rsidRDefault="00A87AB3" w:rsidP="00F34088">
                            <w:pPr>
                              <w:spacing w:after="100" w:afterAutospacing="1"/>
                              <w:jc w:val="left"/>
                              <w:rPr>
                                <w:b/>
                                <w:sz w:val="16"/>
                              </w:rPr>
                            </w:pPr>
                            <w:r w:rsidRPr="00F34088">
                              <w:rPr>
                                <w:sz w:val="16"/>
                              </w:rPr>
                              <w:t>Total productive hours</w:t>
                            </w:r>
                          </w:p>
                        </w:tc>
                        <w:tc>
                          <w:tcPr>
                            <w:tcW w:w="1898" w:type="pct"/>
                            <w:vAlign w:val="center"/>
                          </w:tcPr>
                          <w:p w14:paraId="21EF1DB3" w14:textId="58D56631" w:rsidR="00A87AB3" w:rsidRPr="00F34088" w:rsidRDefault="00A87AB3" w:rsidP="007A1507">
                            <w:pPr>
                              <w:spacing w:after="100" w:afterAutospacing="1"/>
                              <w:jc w:val="left"/>
                              <w:rPr>
                                <w:sz w:val="16"/>
                              </w:rPr>
                            </w:pPr>
                            <w:r w:rsidRPr="00F34088">
                              <w:rPr>
                                <w:sz w:val="16"/>
                              </w:rPr>
                              <w:t>210 x 7.5 hours = 1</w:t>
                            </w:r>
                            <w:r>
                              <w:rPr>
                                <w:sz w:val="16"/>
                              </w:rPr>
                              <w:t>,</w:t>
                            </w:r>
                            <w:r w:rsidRPr="00F34088">
                              <w:rPr>
                                <w:sz w:val="16"/>
                              </w:rPr>
                              <w:t>575 hours</w:t>
                            </w:r>
                          </w:p>
                        </w:tc>
                      </w:tr>
                      <w:tr w:rsidR="00A87AB3" w:rsidRPr="00ED13FE" w14:paraId="52273161" w14:textId="77777777" w:rsidTr="00F34088">
                        <w:tc>
                          <w:tcPr>
                            <w:tcW w:w="3102" w:type="pct"/>
                            <w:vAlign w:val="center"/>
                          </w:tcPr>
                          <w:p w14:paraId="2BDEDBFA" w14:textId="77777777" w:rsidR="00A87AB3" w:rsidRPr="00F34088" w:rsidRDefault="00A87AB3" w:rsidP="00F34088">
                            <w:pPr>
                              <w:spacing w:after="100" w:afterAutospacing="1"/>
                              <w:jc w:val="left"/>
                              <w:rPr>
                                <w:b/>
                                <w:sz w:val="16"/>
                              </w:rPr>
                            </w:pPr>
                            <w:r w:rsidRPr="00F34088">
                              <w:rPr>
                                <w:sz w:val="16"/>
                              </w:rPr>
                              <w:t>Total salary (statutory costs, including holiday pay, etc.)</w:t>
                            </w:r>
                          </w:p>
                        </w:tc>
                        <w:tc>
                          <w:tcPr>
                            <w:tcW w:w="1898" w:type="pct"/>
                            <w:vAlign w:val="center"/>
                          </w:tcPr>
                          <w:p w14:paraId="1FA9DA44" w14:textId="0875566D" w:rsidR="00A87AB3" w:rsidRPr="00F34088" w:rsidRDefault="00A87AB3" w:rsidP="007A1507">
                            <w:pPr>
                              <w:spacing w:after="100" w:afterAutospacing="1"/>
                              <w:jc w:val="left"/>
                              <w:rPr>
                                <w:sz w:val="16"/>
                              </w:rPr>
                            </w:pPr>
                            <w:r w:rsidRPr="00F34088">
                              <w:rPr>
                                <w:sz w:val="16"/>
                              </w:rPr>
                              <w:t>€</w:t>
                            </w:r>
                            <w:r>
                              <w:rPr>
                                <w:sz w:val="16"/>
                              </w:rPr>
                              <w:t xml:space="preserve"> </w:t>
                            </w:r>
                            <w:r w:rsidRPr="00F34088">
                              <w:rPr>
                                <w:sz w:val="16"/>
                              </w:rPr>
                              <w:t>30</w:t>
                            </w:r>
                            <w:r>
                              <w:rPr>
                                <w:sz w:val="16"/>
                              </w:rPr>
                              <w:t>,</w:t>
                            </w:r>
                            <w:r w:rsidRPr="00F34088">
                              <w:rPr>
                                <w:sz w:val="16"/>
                              </w:rPr>
                              <w:t>000 / year</w:t>
                            </w:r>
                          </w:p>
                        </w:tc>
                      </w:tr>
                      <w:tr w:rsidR="00A87AB3" w:rsidRPr="00ED13FE" w14:paraId="1764541B" w14:textId="77777777" w:rsidTr="00F34088">
                        <w:tc>
                          <w:tcPr>
                            <w:tcW w:w="3102" w:type="pct"/>
                            <w:vAlign w:val="center"/>
                          </w:tcPr>
                          <w:p w14:paraId="449E2570" w14:textId="77777777" w:rsidR="00A87AB3" w:rsidRPr="00F34088" w:rsidRDefault="00A87AB3" w:rsidP="00F34088">
                            <w:pPr>
                              <w:spacing w:after="100" w:afterAutospacing="1"/>
                              <w:jc w:val="left"/>
                              <w:rPr>
                                <w:b/>
                                <w:sz w:val="16"/>
                              </w:rPr>
                            </w:pPr>
                            <w:r w:rsidRPr="00F34088">
                              <w:rPr>
                                <w:sz w:val="16"/>
                              </w:rPr>
                              <w:t>Hourly rate</w:t>
                            </w:r>
                          </w:p>
                        </w:tc>
                        <w:tc>
                          <w:tcPr>
                            <w:tcW w:w="1898" w:type="pct"/>
                            <w:vAlign w:val="center"/>
                          </w:tcPr>
                          <w:p w14:paraId="020F134E" w14:textId="325F97C6" w:rsidR="00A87AB3" w:rsidRPr="00F34088" w:rsidRDefault="00A87AB3" w:rsidP="007A1507">
                            <w:pPr>
                              <w:spacing w:after="100" w:afterAutospacing="1"/>
                              <w:jc w:val="left"/>
                              <w:rPr>
                                <w:sz w:val="16"/>
                              </w:rPr>
                            </w:pPr>
                            <w:r w:rsidRPr="00F34088">
                              <w:rPr>
                                <w:sz w:val="16"/>
                              </w:rPr>
                              <w:t>€</w:t>
                            </w:r>
                            <w:r>
                              <w:rPr>
                                <w:sz w:val="16"/>
                              </w:rPr>
                              <w:t xml:space="preserve"> </w:t>
                            </w:r>
                            <w:r w:rsidRPr="00F34088">
                              <w:rPr>
                                <w:sz w:val="16"/>
                              </w:rPr>
                              <w:t>30</w:t>
                            </w:r>
                            <w:r>
                              <w:rPr>
                                <w:sz w:val="16"/>
                              </w:rPr>
                              <w:t>,</w:t>
                            </w:r>
                            <w:r w:rsidRPr="00F34088">
                              <w:rPr>
                                <w:sz w:val="16"/>
                              </w:rPr>
                              <w:t>000 / 1 575 = €</w:t>
                            </w:r>
                            <w:r>
                              <w:rPr>
                                <w:sz w:val="16"/>
                              </w:rPr>
                              <w:t xml:space="preserve"> </w:t>
                            </w:r>
                            <w:r w:rsidRPr="00F34088">
                              <w:rPr>
                                <w:sz w:val="16"/>
                              </w:rPr>
                              <w:t>19 per hour</w:t>
                            </w:r>
                          </w:p>
                        </w:tc>
                      </w:tr>
                      <w:tr w:rsidR="00A87AB3" w:rsidRPr="00ED13FE" w14:paraId="2B6E831B" w14:textId="77777777" w:rsidTr="00F34088">
                        <w:tc>
                          <w:tcPr>
                            <w:tcW w:w="3102" w:type="pct"/>
                            <w:vAlign w:val="center"/>
                          </w:tcPr>
                          <w:p w14:paraId="7EFB4F32" w14:textId="77777777" w:rsidR="00A87AB3" w:rsidRPr="00F34088" w:rsidRDefault="00A87AB3" w:rsidP="00F34088">
                            <w:pPr>
                              <w:spacing w:after="100" w:afterAutospacing="1"/>
                              <w:jc w:val="left"/>
                              <w:rPr>
                                <w:b/>
                                <w:sz w:val="16"/>
                              </w:rPr>
                            </w:pPr>
                            <w:r w:rsidRPr="00F34088">
                              <w:rPr>
                                <w:sz w:val="16"/>
                              </w:rPr>
                              <w:t>Total hours worked for the project</w:t>
                            </w:r>
                          </w:p>
                        </w:tc>
                        <w:tc>
                          <w:tcPr>
                            <w:tcW w:w="1898" w:type="pct"/>
                            <w:vAlign w:val="center"/>
                          </w:tcPr>
                          <w:p w14:paraId="0A1A3BA3" w14:textId="77777777" w:rsidR="00A87AB3" w:rsidRPr="00F34088" w:rsidRDefault="00A87AB3" w:rsidP="00F34088">
                            <w:pPr>
                              <w:spacing w:after="100" w:afterAutospacing="1"/>
                              <w:jc w:val="left"/>
                              <w:rPr>
                                <w:sz w:val="16"/>
                              </w:rPr>
                            </w:pPr>
                            <w:r w:rsidRPr="00F34088">
                              <w:rPr>
                                <w:sz w:val="16"/>
                              </w:rPr>
                              <w:t>650</w:t>
                            </w:r>
                          </w:p>
                        </w:tc>
                      </w:tr>
                      <w:tr w:rsidR="00A87AB3" w:rsidRPr="00ED13FE" w14:paraId="2066AFFF" w14:textId="77777777" w:rsidTr="00F34088">
                        <w:tc>
                          <w:tcPr>
                            <w:tcW w:w="3102" w:type="pct"/>
                            <w:vAlign w:val="center"/>
                          </w:tcPr>
                          <w:p w14:paraId="49A860B3" w14:textId="77777777" w:rsidR="00A87AB3" w:rsidRPr="00F34088" w:rsidRDefault="00A87AB3" w:rsidP="00F34088">
                            <w:pPr>
                              <w:spacing w:after="100" w:afterAutospacing="1"/>
                              <w:jc w:val="left"/>
                              <w:rPr>
                                <w:b/>
                                <w:sz w:val="16"/>
                              </w:rPr>
                            </w:pPr>
                            <w:r w:rsidRPr="00F34088">
                              <w:rPr>
                                <w:sz w:val="16"/>
                              </w:rPr>
                              <w:t>Total costs charged to the project</w:t>
                            </w:r>
                          </w:p>
                        </w:tc>
                        <w:tc>
                          <w:tcPr>
                            <w:tcW w:w="1898" w:type="pct"/>
                            <w:vAlign w:val="center"/>
                          </w:tcPr>
                          <w:p w14:paraId="5B928E37" w14:textId="184E59A7" w:rsidR="00A87AB3" w:rsidRPr="00F34088" w:rsidRDefault="00A87AB3" w:rsidP="007A1507">
                            <w:pPr>
                              <w:spacing w:after="100" w:afterAutospacing="1"/>
                              <w:jc w:val="left"/>
                              <w:rPr>
                                <w:sz w:val="16"/>
                              </w:rPr>
                            </w:pPr>
                            <w:r w:rsidRPr="00F34088">
                              <w:rPr>
                                <w:sz w:val="16"/>
                              </w:rPr>
                              <w:t>650 x €19 = €</w:t>
                            </w:r>
                            <w:r>
                              <w:rPr>
                                <w:sz w:val="16"/>
                              </w:rPr>
                              <w:t xml:space="preserve"> </w:t>
                            </w:r>
                            <w:r w:rsidRPr="00F34088">
                              <w:rPr>
                                <w:sz w:val="16"/>
                              </w:rPr>
                              <w:t>12</w:t>
                            </w:r>
                            <w:r>
                              <w:rPr>
                                <w:sz w:val="16"/>
                              </w:rPr>
                              <w:t>,</w:t>
                            </w:r>
                            <w:r w:rsidRPr="00F34088">
                              <w:rPr>
                                <w:sz w:val="16"/>
                              </w:rPr>
                              <w:t>350</w:t>
                            </w:r>
                          </w:p>
                        </w:tc>
                      </w:tr>
                    </w:tbl>
                    <w:p w14:paraId="1E7A7F36" w14:textId="77777777" w:rsidR="00A87AB3" w:rsidRPr="00ED13FE" w:rsidRDefault="00A87AB3" w:rsidP="000F2E1C">
                      <w:pPr>
                        <w:spacing w:line="240" w:lineRule="auto"/>
                        <w:rPr>
                          <w:sz w:val="16"/>
                        </w:rPr>
                      </w:pPr>
                      <w:r w:rsidRPr="00ED13FE">
                        <w:rPr>
                          <w:sz w:val="16"/>
                        </w:rPr>
                        <w:t xml:space="preserve">Statutory costs include social security and other (usual) allowances. </w:t>
                      </w:r>
                    </w:p>
                    <w:p w14:paraId="5C6F0F96" w14:textId="77777777" w:rsidR="00A87AB3" w:rsidRPr="00ED13FE" w:rsidRDefault="00A87AB3">
                      <w:pPr>
                        <w:rPr>
                          <w:sz w:val="16"/>
                        </w:rPr>
                      </w:pPr>
                    </w:p>
                  </w:txbxContent>
                </v:textbox>
                <w10:wrap type="square"/>
              </v:shape>
            </w:pict>
          </mc:Fallback>
        </mc:AlternateContent>
      </w:r>
      <w:r w:rsidR="00ED182F" w:rsidRPr="009B7F14">
        <w:t xml:space="preserve">Any additional benefits (e.g. monthly transport costs) must be directly linked to the salary payments and incurred and paid by the </w:t>
      </w:r>
      <w:r w:rsidR="003134A1" w:rsidRPr="009B7F14">
        <w:t>PP</w:t>
      </w:r>
      <w:r w:rsidR="00ED182F" w:rsidRPr="009B7F14">
        <w:t xml:space="preserve"> and/or project partners in accordance with the employment contract or relevant national legislation</w:t>
      </w:r>
    </w:p>
    <w:p w14:paraId="71A5216D" w14:textId="556A86F0" w:rsidR="00610E19" w:rsidRPr="009B7F14" w:rsidRDefault="005252F1" w:rsidP="005252F1">
      <w:r w:rsidRPr="009B7F14">
        <w:t>Corresponding salaries costs of staff of national administrations are eligible to the extent that they relate to the cost of activities that would not be carried out if the project was not undertaken.</w:t>
      </w:r>
    </w:p>
    <w:p w14:paraId="67005066" w14:textId="77777777" w:rsidR="00ED182F" w:rsidRPr="009B7F14" w:rsidRDefault="00ED182F" w:rsidP="00920571">
      <w:pPr>
        <w:pStyle w:val="Heading3"/>
      </w:pPr>
      <w:r w:rsidRPr="009B7F14">
        <w:t>Travel and subsistence allowances for staff taking part in the project</w:t>
      </w:r>
    </w:p>
    <w:p w14:paraId="1219585C" w14:textId="77777777" w:rsidR="00ED182F" w:rsidRPr="009B7F14" w:rsidRDefault="00AC79EE" w:rsidP="00376576">
      <w:r w:rsidRPr="009B7F14">
        <w:t xml:space="preserve">Below are some </w:t>
      </w:r>
      <w:r w:rsidR="00ED182F" w:rsidRPr="009B7F14">
        <w:t>general principles</w:t>
      </w:r>
      <w:r w:rsidRPr="009B7F14">
        <w:t xml:space="preserve"> that apply to travel and subsistence costs:</w:t>
      </w:r>
    </w:p>
    <w:p w14:paraId="715F8C33" w14:textId="4579413B" w:rsidR="00ED182F" w:rsidRPr="009B7F14" w:rsidRDefault="00ED182F" w:rsidP="009F01EE">
      <w:pPr>
        <w:pStyle w:val="ListParagraph"/>
        <w:numPr>
          <w:ilvl w:val="0"/>
          <w:numId w:val="15"/>
        </w:numPr>
      </w:pPr>
      <w:r w:rsidRPr="009B7F14">
        <w:t xml:space="preserve">Travel must be clearly linked to the delivery of the project and </w:t>
      </w:r>
      <w:r w:rsidR="005252F1" w:rsidRPr="009B7F14">
        <w:t>carried out</w:t>
      </w:r>
      <w:r w:rsidRPr="009B7F14">
        <w:t xml:space="preserve"> by the </w:t>
      </w:r>
      <w:r w:rsidR="003134A1" w:rsidRPr="009B7F14">
        <w:t>PP</w:t>
      </w:r>
      <w:r w:rsidR="00D92070">
        <w:t xml:space="preserve"> and/or project partner. Expenditure related to travel outside the EEA</w:t>
      </w:r>
      <w:r w:rsidR="00DE5468">
        <w:t xml:space="preserve"> shall normally not be eligible</w:t>
      </w:r>
    </w:p>
    <w:p w14:paraId="79926501" w14:textId="57C85205" w:rsidR="00ED182F" w:rsidRPr="009B7F14" w:rsidRDefault="00ED182F" w:rsidP="009F01EE">
      <w:pPr>
        <w:pStyle w:val="ListParagraph"/>
        <w:numPr>
          <w:ilvl w:val="0"/>
          <w:numId w:val="15"/>
        </w:numPr>
      </w:pPr>
      <w:r w:rsidRPr="009B7F14">
        <w:t>Direct payment by a staff member or the partner organisation must be supported by a proof of reimbursement</w:t>
      </w:r>
    </w:p>
    <w:p w14:paraId="0039C789" w14:textId="3AFF5EA3" w:rsidR="00ED182F" w:rsidRPr="009B7F14" w:rsidRDefault="00ED182F" w:rsidP="009F01EE">
      <w:pPr>
        <w:pStyle w:val="ListParagraph"/>
        <w:numPr>
          <w:ilvl w:val="0"/>
          <w:numId w:val="15"/>
        </w:numPr>
      </w:pPr>
      <w:r w:rsidRPr="009B7F14">
        <w:t>Any expenditure item covered by the daily allowance cannot be eligible in addition to the daily allowance</w:t>
      </w:r>
    </w:p>
    <w:p w14:paraId="43A88319" w14:textId="730EDF4C" w:rsidR="00ED182F" w:rsidRPr="009B7F14" w:rsidRDefault="002A6034" w:rsidP="009F01EE">
      <w:pPr>
        <w:pStyle w:val="ListParagraph"/>
        <w:numPr>
          <w:ilvl w:val="0"/>
          <w:numId w:val="15"/>
        </w:numPr>
      </w:pPr>
      <w:r w:rsidRPr="009B7F14">
        <w:t>Having regard to the principle of proportionality, t</w:t>
      </w:r>
      <w:r w:rsidR="00ED182F" w:rsidRPr="009B7F14">
        <w:t xml:space="preserve">he amount of </w:t>
      </w:r>
      <w:r w:rsidRPr="009B7F14">
        <w:t>subsistence</w:t>
      </w:r>
      <w:r w:rsidR="00ED182F" w:rsidRPr="009B7F14">
        <w:t xml:space="preserve"> allowances </w:t>
      </w:r>
      <w:r w:rsidRPr="009B7F14">
        <w:t>may be calculated as a lump sum, on the basis of defined rules app</w:t>
      </w:r>
      <w:r w:rsidR="00DE5468">
        <w:t xml:space="preserve">roved by the </w:t>
      </w:r>
      <w:r w:rsidR="004E3490">
        <w:t>PO</w:t>
      </w:r>
    </w:p>
    <w:p w14:paraId="32BA35FE" w14:textId="29847073" w:rsidR="00ED182F" w:rsidRPr="009B7F14" w:rsidRDefault="00ED182F" w:rsidP="009F01EE">
      <w:pPr>
        <w:pStyle w:val="ListParagraph"/>
        <w:numPr>
          <w:ilvl w:val="0"/>
          <w:numId w:val="15"/>
        </w:numPr>
      </w:pPr>
      <w:r w:rsidRPr="009B7F14">
        <w:t>The principle of sound financial management should apply to the choice of transport and accommodation</w:t>
      </w:r>
    </w:p>
    <w:p w14:paraId="2CB62652" w14:textId="77777777" w:rsidR="00ED182F" w:rsidRPr="009B7F14" w:rsidRDefault="00ED182F" w:rsidP="009F01EE">
      <w:pPr>
        <w:pStyle w:val="ListParagraph"/>
        <w:numPr>
          <w:ilvl w:val="0"/>
          <w:numId w:val="15"/>
        </w:numPr>
      </w:pPr>
      <w:r w:rsidRPr="009B7F14">
        <w:t xml:space="preserve">Travel and accommodation costs of external experts and service providers </w:t>
      </w:r>
      <w:r w:rsidR="00D93A4B" w:rsidRPr="009B7F14">
        <w:t>is not included in</w:t>
      </w:r>
      <w:r w:rsidR="005B443C" w:rsidRPr="009B7F14">
        <w:t xml:space="preserve"> this category, as they are entailed by other contracts awarded by the PP for carrying out the project (Reg. Art. 8.3.1.</w:t>
      </w:r>
      <w:r w:rsidR="00F568B5" w:rsidRPr="009B7F14">
        <w:t>(</w:t>
      </w:r>
      <w:r w:rsidR="005B443C" w:rsidRPr="009B7F14">
        <w:t>f</w:t>
      </w:r>
      <w:r w:rsidR="00F568B5" w:rsidRPr="009B7F14">
        <w:t>)</w:t>
      </w:r>
      <w:r w:rsidR="005B443C" w:rsidRPr="009B7F14">
        <w:t>)</w:t>
      </w:r>
      <w:r w:rsidRPr="009B7F14">
        <w:t xml:space="preserve"> </w:t>
      </w:r>
    </w:p>
    <w:p w14:paraId="62E8D17B" w14:textId="58DAA4F2" w:rsidR="00ED182F" w:rsidRPr="009B7F14" w:rsidRDefault="00ED182F" w:rsidP="009F01EE">
      <w:pPr>
        <w:pStyle w:val="ListParagraph"/>
        <w:numPr>
          <w:ilvl w:val="0"/>
          <w:numId w:val="15"/>
        </w:numPr>
      </w:pPr>
      <w:r w:rsidRPr="009B7F14">
        <w:t>A proof of expenditure for costs incurred shall be available (e.g. invoice of travel agent, plane tickets, e-tickets, boarding pass, meal receipts, list of participants, minutes, agenda etc.)</w:t>
      </w:r>
    </w:p>
    <w:p w14:paraId="18B956A5" w14:textId="77777777" w:rsidR="00ED182F" w:rsidRPr="009B7F14" w:rsidRDefault="00ED182F" w:rsidP="00376576">
      <w:r w:rsidRPr="009B7F14">
        <w:t xml:space="preserve">Having regard to the principle of proportionality, travel costs including subsistence allowance, may be </w:t>
      </w:r>
      <w:r w:rsidR="005B443C" w:rsidRPr="009B7F14">
        <w:t>calculated</w:t>
      </w:r>
      <w:r w:rsidRPr="009B7F14">
        <w:t xml:space="preserve"> on the basis of a lump sum.</w:t>
      </w:r>
      <w:r w:rsidRPr="009B7F14">
        <w:rPr>
          <w:color w:val="FF0000"/>
        </w:rPr>
        <w:t xml:space="preserve"> </w:t>
      </w:r>
      <w:r w:rsidRPr="009B7F14">
        <w:t xml:space="preserve">The </w:t>
      </w:r>
      <w:r w:rsidR="004E3C0C" w:rsidRPr="009B7F14">
        <w:t xml:space="preserve">defined </w:t>
      </w:r>
      <w:r w:rsidRPr="009B7F14">
        <w:t xml:space="preserve">rules should be approved by the </w:t>
      </w:r>
      <w:r w:rsidR="003134A1" w:rsidRPr="009B7F14">
        <w:t>PO</w:t>
      </w:r>
      <w:r w:rsidRPr="009B7F14">
        <w:t xml:space="preserve"> (or by the </w:t>
      </w:r>
      <w:r w:rsidR="00284FB3" w:rsidRPr="009B7F14">
        <w:t>NFP</w:t>
      </w:r>
      <w:r w:rsidRPr="009B7F14">
        <w:t xml:space="preserve"> in case of Bilateral Fund). </w:t>
      </w:r>
    </w:p>
    <w:p w14:paraId="193DAE31" w14:textId="77777777" w:rsidR="00ED182F" w:rsidRPr="009B7F14" w:rsidRDefault="00ED182F" w:rsidP="00920571">
      <w:pPr>
        <w:pStyle w:val="Heading3"/>
      </w:pPr>
      <w:r w:rsidRPr="009B7F14">
        <w:t>The cost of new or second-hand equipment</w:t>
      </w:r>
    </w:p>
    <w:p w14:paraId="6E5054C1" w14:textId="77777777" w:rsidR="00ED182F" w:rsidRPr="009B7F14" w:rsidRDefault="00ED182F" w:rsidP="00376576">
      <w:r w:rsidRPr="009B7F14">
        <w:t xml:space="preserve">Depreciation of equipment (new or second-hand) as recorded in the accounting statements of the </w:t>
      </w:r>
      <w:r w:rsidR="003134A1" w:rsidRPr="009B7F14">
        <w:t>PP</w:t>
      </w:r>
      <w:r w:rsidR="00D93A4B" w:rsidRPr="009B7F14">
        <w:t xml:space="preserve"> and/or project partner(s) is eligible</w:t>
      </w:r>
      <w:r w:rsidRPr="009B7F14">
        <w:t xml:space="preserve"> provided that the asset has been purchased in accordance with the </w:t>
      </w:r>
      <w:r w:rsidR="00B170A9" w:rsidRPr="009B7F14">
        <w:t xml:space="preserve">relevant conditions in the project contract </w:t>
      </w:r>
      <w:r w:rsidRPr="009B7F14">
        <w:t xml:space="preserve">and written off in accordance with the international accounting standards and the usual accounting practices of the </w:t>
      </w:r>
      <w:r w:rsidR="003134A1" w:rsidRPr="009B7F14">
        <w:t>PP</w:t>
      </w:r>
      <w:r w:rsidRPr="009B7F14">
        <w:t xml:space="preserve"> and/or project partner. Only the portion of the depreciation corresponding to the duration of the project and the rate of actual use for the purposes of the project may be considered eligible.</w:t>
      </w:r>
    </w:p>
    <w:p w14:paraId="1AD070D8" w14:textId="77777777" w:rsidR="00ED182F" w:rsidRPr="009B7F14" w:rsidRDefault="00ED182F" w:rsidP="00376576">
      <w:r w:rsidRPr="009B7F14">
        <w:t>If the equipment has not yet been fully depreciated the remaining depreciation (according to the amount of use, in percentage and time) can be eligible under the project.</w:t>
      </w:r>
    </w:p>
    <w:p w14:paraId="4985C458" w14:textId="302754D0" w:rsidR="00ED182F" w:rsidRPr="009B7F14" w:rsidRDefault="00ED182F" w:rsidP="00376576">
      <w:r w:rsidRPr="009B7F14">
        <w:t>Items purchased prior to the project, even if they are used for the purposes of the project, cannot be considered eligible direct costs if the use of existing equipment is covered by the indirect cost.</w:t>
      </w:r>
    </w:p>
    <w:p w14:paraId="2BCA2E73" w14:textId="6FED7DDC" w:rsidR="00ED182F" w:rsidRPr="009B7F14" w:rsidRDefault="00F34088" w:rsidP="00376576">
      <w:r w:rsidRPr="009B7F14">
        <w:rPr>
          <w:noProof/>
          <w:lang w:eastAsia="en-GB"/>
        </w:rPr>
        <mc:AlternateContent>
          <mc:Choice Requires="wps">
            <w:drawing>
              <wp:anchor distT="45720" distB="45720" distL="114300" distR="114300" simplePos="0" relativeHeight="251678720" behindDoc="0" locked="0" layoutInCell="1" allowOverlap="1" wp14:anchorId="77250096" wp14:editId="7CDF6E7A">
                <wp:simplePos x="0" y="0"/>
                <wp:positionH relativeFrom="column">
                  <wp:posOffset>9525</wp:posOffset>
                </wp:positionH>
                <wp:positionV relativeFrom="paragraph">
                  <wp:posOffset>638175</wp:posOffset>
                </wp:positionV>
                <wp:extent cx="5695950" cy="10287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028700"/>
                        </a:xfrm>
                        <a:prstGeom prst="rect">
                          <a:avLst/>
                        </a:prstGeom>
                        <a:solidFill>
                          <a:schemeClr val="bg1"/>
                        </a:solidFill>
                        <a:ln w="9525">
                          <a:solidFill>
                            <a:schemeClr val="tx1"/>
                          </a:solidFill>
                          <a:miter lim="800000"/>
                          <a:headEnd/>
                          <a:tailEnd/>
                        </a:ln>
                      </wps:spPr>
                      <wps:txbx>
                        <w:txbxContent>
                          <w:p w14:paraId="77901AD7" w14:textId="77777777" w:rsidR="00A87AB3" w:rsidRPr="00ED13FE" w:rsidRDefault="00A87AB3" w:rsidP="000F2E1C">
                            <w:pPr>
                              <w:rPr>
                                <w:b/>
                                <w:sz w:val="18"/>
                              </w:rPr>
                            </w:pPr>
                            <w:r w:rsidRPr="00ED13FE">
                              <w:rPr>
                                <w:b/>
                                <w:sz w:val="18"/>
                              </w:rPr>
                              <w:t>Example:</w:t>
                            </w:r>
                          </w:p>
                          <w:p w14:paraId="6E62ACB4" w14:textId="77777777" w:rsidR="00A87AB3" w:rsidRPr="00ED13FE" w:rsidRDefault="00A87AB3" w:rsidP="000F2E1C">
                            <w:pPr>
                              <w:rPr>
                                <w:sz w:val="18"/>
                              </w:rPr>
                            </w:pPr>
                            <w:r w:rsidRPr="00ED13FE">
                              <w:rPr>
                                <w:sz w:val="18"/>
                              </w:rPr>
                              <w:t>A PP has a piece of equipment that is depreciated over five years, and at the start of the project has already been using it for two years. Assuming that the equipment is used 100% for the project, the last three years of the equipment’s useful life form an eligible cost of the project (assuming the project lasts for those three years).</w:t>
                            </w:r>
                          </w:p>
                          <w:p w14:paraId="5A88664E" w14:textId="77777777" w:rsidR="00A87AB3" w:rsidRPr="00ED13FE" w:rsidRDefault="00A87AB3">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50096" id="_x0000_s1037" type="#_x0000_t202" style="position:absolute;left:0;text-align:left;margin-left:.75pt;margin-top:50.25pt;width:448.5pt;height:81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" fillcolor="white [3212]" strokecolor="black [3213]">
                <v:textbox>
                  <w:txbxContent>
                    <w:p w14:paraId="77901AD7" w14:textId="77777777" w:rsidR="00A87AB3" w:rsidRPr="00ED13FE" w:rsidRDefault="00A87AB3" w:rsidP="000F2E1C">
                      <w:pPr>
                        <w:rPr>
                          <w:b/>
                          <w:sz w:val="18"/>
                        </w:rPr>
                      </w:pPr>
                      <w:r w:rsidRPr="00ED13FE">
                        <w:rPr>
                          <w:b/>
                          <w:sz w:val="18"/>
                        </w:rPr>
                        <w:t>Example:</w:t>
                      </w:r>
                    </w:p>
                    <w:p w14:paraId="6E62ACB4" w14:textId="77777777" w:rsidR="00A87AB3" w:rsidRPr="00ED13FE" w:rsidRDefault="00A87AB3" w:rsidP="000F2E1C">
                      <w:pPr>
                        <w:rPr>
                          <w:sz w:val="18"/>
                        </w:rPr>
                      </w:pPr>
                      <w:r w:rsidRPr="00ED13FE">
                        <w:rPr>
                          <w:sz w:val="18"/>
                        </w:rPr>
                        <w:t>A PP has a piece of equipment that is depreciated over five years, and at the start of the project has already been using it for two years. Assuming that the equipment is used 100% for the project, the last three years of the equipment’s useful life form an eligible cost of the project (assuming the project lasts for those three years).</w:t>
                      </w:r>
                    </w:p>
                    <w:p w14:paraId="5A88664E" w14:textId="77777777" w:rsidR="00A87AB3" w:rsidRPr="00ED13FE" w:rsidRDefault="00A87AB3">
                      <w:pPr>
                        <w:rPr>
                          <w:sz w:val="18"/>
                        </w:rPr>
                      </w:pPr>
                    </w:p>
                  </w:txbxContent>
                </v:textbox>
                <w10:wrap type="square"/>
              </v:shape>
            </w:pict>
          </mc:Fallback>
        </mc:AlternateContent>
      </w:r>
      <w:r w:rsidR="00ED182F" w:rsidRPr="009B7F14">
        <w:t>In case the PO determines that the equipment is an integral and necessary component for achieving the outcomes of the project, the entire purchase price of that equipment may be eligible. The following conditions apply (</w:t>
      </w:r>
      <w:r w:rsidR="00CD3B04" w:rsidRPr="009B7F14">
        <w:t xml:space="preserve">Reg. </w:t>
      </w:r>
      <w:r w:rsidR="00ED182F" w:rsidRPr="009B7F14">
        <w:t>Art. 8.3.2):</w:t>
      </w:r>
    </w:p>
    <w:p w14:paraId="0664BA63" w14:textId="4CE245F5" w:rsidR="00211FCD" w:rsidRPr="009B7F14" w:rsidRDefault="00211FCD" w:rsidP="00376576">
      <w:r w:rsidRPr="009B7F14">
        <w:t xml:space="preserve">The </w:t>
      </w:r>
      <w:r w:rsidR="004E3490">
        <w:t>PO</w:t>
      </w:r>
      <w:r w:rsidRPr="009B7F14">
        <w:t xml:space="preserve"> shall ensure that the </w:t>
      </w:r>
      <w:r w:rsidR="004E3490">
        <w:t>PP</w:t>
      </w:r>
    </w:p>
    <w:p w14:paraId="614F1BD0" w14:textId="77777777" w:rsidR="00ED182F" w:rsidRPr="009B7F14" w:rsidRDefault="00211FCD" w:rsidP="009F01EE">
      <w:pPr>
        <w:pStyle w:val="ListParagraph"/>
        <w:numPr>
          <w:ilvl w:val="0"/>
          <w:numId w:val="16"/>
        </w:numPr>
      </w:pPr>
      <w:r w:rsidRPr="009B7F14">
        <w:t>Keeps t</w:t>
      </w:r>
      <w:r w:rsidR="00ED182F" w:rsidRPr="009B7F14">
        <w:t xml:space="preserve">he equipment in </w:t>
      </w:r>
      <w:r w:rsidRPr="009B7F14">
        <w:t>its</w:t>
      </w:r>
      <w:r w:rsidR="00ED182F" w:rsidRPr="009B7F14">
        <w:t xml:space="preserve"> ownership of the </w:t>
      </w:r>
      <w:r w:rsidR="003134A1" w:rsidRPr="009B7F14">
        <w:t>PP</w:t>
      </w:r>
      <w:r w:rsidR="00ED182F" w:rsidRPr="009B7F14">
        <w:t xml:space="preserve"> for a period of at least five years following the completion of the project and continues to </w:t>
      </w:r>
      <w:r w:rsidRPr="009B7F14">
        <w:t>use that equipment</w:t>
      </w:r>
      <w:r w:rsidR="00ED182F" w:rsidRPr="009B7F14">
        <w:t xml:space="preserve"> for the benefit of the overall objectives of the project for the same period</w:t>
      </w:r>
    </w:p>
    <w:p w14:paraId="32EAEF14" w14:textId="77777777" w:rsidR="00ED182F" w:rsidRPr="009B7F14" w:rsidRDefault="00211FCD" w:rsidP="009F01EE">
      <w:pPr>
        <w:pStyle w:val="ListParagraph"/>
        <w:numPr>
          <w:ilvl w:val="0"/>
          <w:numId w:val="16"/>
        </w:numPr>
      </w:pPr>
      <w:r w:rsidRPr="009B7F14">
        <w:t>Keeps the</w:t>
      </w:r>
      <w:r w:rsidR="00ED182F" w:rsidRPr="009B7F14">
        <w:t xml:space="preserve"> equipment properly insured against losses such as fire, theft or other normally insurable incidents both during the project implementation and for at least five years following the completion of the project</w:t>
      </w:r>
    </w:p>
    <w:p w14:paraId="79E2970C" w14:textId="54750399" w:rsidR="00ED182F" w:rsidRPr="009B7F14" w:rsidRDefault="00B170A9" w:rsidP="009F01EE">
      <w:pPr>
        <w:pStyle w:val="ListParagraph"/>
        <w:numPr>
          <w:ilvl w:val="0"/>
          <w:numId w:val="16"/>
        </w:numPr>
      </w:pPr>
      <w:r w:rsidRPr="009B7F14">
        <w:t>S</w:t>
      </w:r>
      <w:r w:rsidR="00211FCD" w:rsidRPr="009B7F14">
        <w:t>ets</w:t>
      </w:r>
      <w:r w:rsidR="00ED182F" w:rsidRPr="009B7F14">
        <w:t xml:space="preserve"> aside appropriate resources for the maintenance of the equipment for at least five years following the comple</w:t>
      </w:r>
      <w:r w:rsidR="00DE5468">
        <w:t>tion of the project</w:t>
      </w:r>
      <w:r w:rsidR="00ED182F" w:rsidRPr="009B7F14">
        <w:t xml:space="preserve"> </w:t>
      </w:r>
    </w:p>
    <w:p w14:paraId="04C99DD3" w14:textId="77777777" w:rsidR="00211FCD" w:rsidRPr="009B7F14" w:rsidRDefault="00211FCD" w:rsidP="00376576">
      <w:r w:rsidRPr="009B7F14">
        <w:t xml:space="preserve">The specific means of implementation of this obligation shall be specified in the project contract. </w:t>
      </w:r>
      <w:r w:rsidR="00005FC9" w:rsidRPr="009B7F14">
        <w:t>In case equipment for which the entire purchase price has been found eligible is in the ownership of a project partner, the project partner should comply with the above conditions.</w:t>
      </w:r>
      <w:r w:rsidR="00616FA1" w:rsidRPr="009B7F14">
        <w:t xml:space="preserve"> The PO may release any PP from the obligations above with respect to any specifically identified equipment, where the PO is satisfied that, having regard to the all relevant circumstances, continued use of the equipment for the overall objectives of the project would serve no useful economic purpose (Reg. Art. 8.3.2).</w:t>
      </w:r>
    </w:p>
    <w:p w14:paraId="45B861DF" w14:textId="77777777" w:rsidR="00ED182F" w:rsidRPr="009B7F14" w:rsidRDefault="00ED182F" w:rsidP="00376576">
      <w:r w:rsidRPr="009B7F14">
        <w:t>Leasing is eligible only if ownership is not transferred at the end of the leasing period from the lessor to the lessee. Therefore operational leasing (renting) is eligible, while financial leasing is not.</w:t>
      </w:r>
    </w:p>
    <w:p w14:paraId="4D8F8705" w14:textId="77777777" w:rsidR="00D44E14" w:rsidRPr="009B7F14" w:rsidRDefault="00D44E14" w:rsidP="00920571">
      <w:pPr>
        <w:pStyle w:val="Heading3"/>
      </w:pPr>
      <w:r w:rsidRPr="009B7F14">
        <w:t>Purchase of land and real estate</w:t>
      </w:r>
    </w:p>
    <w:p w14:paraId="163BB0F2" w14:textId="6659CE1D" w:rsidR="00D44E14" w:rsidRPr="009B7F14" w:rsidRDefault="00D44E14" w:rsidP="00D44E14">
      <w:r w:rsidRPr="009B7F14">
        <w:t xml:space="preserve">Purchase of land not built on and real estate are eligible if compliant </w:t>
      </w:r>
      <w:r w:rsidR="00200776">
        <w:t>with</w:t>
      </w:r>
      <w:r w:rsidRPr="009B7F14">
        <w:t xml:space="preserve"> the conditions set out in Reg. Art. 8.6.:</w:t>
      </w:r>
    </w:p>
    <w:p w14:paraId="0AFFFD7F" w14:textId="394369CF" w:rsidR="00D44E14" w:rsidRPr="009B7F14" w:rsidRDefault="00DF022D" w:rsidP="009F01EE">
      <w:pPr>
        <w:pStyle w:val="ListParagraph"/>
        <w:numPr>
          <w:ilvl w:val="0"/>
          <w:numId w:val="32"/>
        </w:numPr>
      </w:pPr>
      <w:r w:rsidRPr="009B7F14">
        <w:t>T</w:t>
      </w:r>
      <w:r w:rsidR="00D44E14" w:rsidRPr="009B7F14">
        <w:t>here shall be a direct link between the purchase an</w:t>
      </w:r>
      <w:r w:rsidR="00DE5468">
        <w:t>d the objectives of the project</w:t>
      </w:r>
      <w:r w:rsidR="00D44E14" w:rsidRPr="009B7F14">
        <w:t xml:space="preserve"> </w:t>
      </w:r>
    </w:p>
    <w:p w14:paraId="19ACB2DA" w14:textId="55E31724" w:rsidR="00D44E14" w:rsidRPr="009B7F14" w:rsidRDefault="00DF022D" w:rsidP="009F01EE">
      <w:pPr>
        <w:pStyle w:val="ListParagraph"/>
        <w:numPr>
          <w:ilvl w:val="0"/>
          <w:numId w:val="32"/>
        </w:numPr>
      </w:pPr>
      <w:r w:rsidRPr="009B7F14">
        <w:t>P</w:t>
      </w:r>
      <w:r w:rsidR="00D44E14" w:rsidRPr="009B7F14">
        <w:t xml:space="preserve">urchase of real estate and/or land may not represent more than 10% of the total eligible expenditure of the project, unless a higher percentage is explicitly authorised in the </w:t>
      </w:r>
      <w:r w:rsidR="00AF054F">
        <w:t>PA</w:t>
      </w:r>
      <w:r w:rsidR="00D44E14" w:rsidRPr="009B7F14">
        <w:t xml:space="preserve"> and set in the deci</w:t>
      </w:r>
      <w:r w:rsidR="00DE5468">
        <w:t>sion to award the project grant</w:t>
      </w:r>
      <w:r w:rsidR="00D44E14" w:rsidRPr="009B7F14">
        <w:t xml:space="preserve"> </w:t>
      </w:r>
    </w:p>
    <w:p w14:paraId="11561423" w14:textId="59B508DE" w:rsidR="00D44E14" w:rsidRPr="009B7F14" w:rsidRDefault="00DF022D" w:rsidP="009F01EE">
      <w:pPr>
        <w:pStyle w:val="ListParagraph"/>
        <w:numPr>
          <w:ilvl w:val="0"/>
          <w:numId w:val="32"/>
        </w:numPr>
      </w:pPr>
      <w:r w:rsidRPr="009B7F14">
        <w:t>A</w:t>
      </w:r>
      <w:r w:rsidR="00D44E14" w:rsidRPr="009B7F14">
        <w:t xml:space="preserve"> certificate shall be obtained prior to the purchase from an independent qualified evaluator or duly authorised official entity confirming that the purchase price does not exceed the market value and that it is free of all obligations in terms of mortgage and other liabilities, particularly in respect of damage related to pollution. In case of purchase of real estate the certificate must either confirm that the building in question is in conformity with national regulations, or specify what is not in conformity with national regulations but which is to be rectified by the P</w:t>
      </w:r>
      <w:r w:rsidR="004E3490">
        <w:t>P</w:t>
      </w:r>
      <w:r w:rsidR="00DE5468">
        <w:t xml:space="preserve"> under the project</w:t>
      </w:r>
      <w:r w:rsidR="00D44E14" w:rsidRPr="009B7F14">
        <w:t xml:space="preserve"> </w:t>
      </w:r>
    </w:p>
    <w:p w14:paraId="2E4F4C5F" w14:textId="454F5E4F" w:rsidR="00D44E14" w:rsidRPr="009B7F14" w:rsidRDefault="00DF022D" w:rsidP="009F01EE">
      <w:pPr>
        <w:pStyle w:val="ListParagraph"/>
        <w:numPr>
          <w:ilvl w:val="0"/>
          <w:numId w:val="32"/>
        </w:numPr>
      </w:pPr>
      <w:r w:rsidRPr="009B7F14">
        <w:t>T</w:t>
      </w:r>
      <w:r w:rsidR="00D44E14" w:rsidRPr="009B7F14">
        <w:t xml:space="preserve">he real estate and/or the land shall be used for the purpose and for the period specified in the decision to award the project grant. The ownership must be transferred to the </w:t>
      </w:r>
      <w:r w:rsidR="004E3490">
        <w:t>PP</w:t>
      </w:r>
      <w:r w:rsidR="00D44E14" w:rsidRPr="009B7F14">
        <w:t xml:space="preserve">, or those explicitly designated by the </w:t>
      </w:r>
      <w:r w:rsidR="004E3490">
        <w:t>PP</w:t>
      </w:r>
      <w:r w:rsidR="00D44E14" w:rsidRPr="009B7F14">
        <w:t xml:space="preserve"> in the project application as recipients of the real estate and/or the land, prior to the completion of the project. The real estate and/or the land cannot be sold, rented, or mortgaged within five years of the completion of the project, or longer if stipulated in the project contract. The NMFA may waive this restriction if it would result in an unreasonable burden on the </w:t>
      </w:r>
      <w:r w:rsidR="004E3490">
        <w:t>P</w:t>
      </w:r>
      <w:r w:rsidR="00D44E14" w:rsidRPr="009B7F14">
        <w:t xml:space="preserve">P </w:t>
      </w:r>
    </w:p>
    <w:p w14:paraId="3331A131" w14:textId="77777777" w:rsidR="00D44E14" w:rsidRPr="009B7F14" w:rsidRDefault="00DF022D" w:rsidP="009F01EE">
      <w:pPr>
        <w:pStyle w:val="ListParagraph"/>
        <w:numPr>
          <w:ilvl w:val="0"/>
          <w:numId w:val="32"/>
        </w:numPr>
      </w:pPr>
      <w:r w:rsidRPr="009B7F14">
        <w:t>The</w:t>
      </w:r>
      <w:r w:rsidR="00D44E14" w:rsidRPr="009B7F14">
        <w:t xml:space="preserve"> real estate and/or land may only be used in conformity with the objectives of the project. In particular, buildings may be used to accommodate public administration services only where such use is in conformity with the objective of the project; and </w:t>
      </w:r>
    </w:p>
    <w:p w14:paraId="1201B5FC" w14:textId="47ED13C0" w:rsidR="00D44E14" w:rsidRPr="009B7F14" w:rsidRDefault="00DF022D" w:rsidP="009F01EE">
      <w:pPr>
        <w:pStyle w:val="ListParagraph"/>
        <w:numPr>
          <w:ilvl w:val="0"/>
          <w:numId w:val="32"/>
        </w:numPr>
      </w:pPr>
      <w:r w:rsidRPr="009B7F14">
        <w:t>The</w:t>
      </w:r>
      <w:r w:rsidR="00D44E14" w:rsidRPr="009B7F14">
        <w:t xml:space="preserve"> purchase of real estate and/or land shall be explicitly approved by the P</w:t>
      </w:r>
      <w:r w:rsidR="004E3490">
        <w:t>O</w:t>
      </w:r>
      <w:r w:rsidR="00D44E14" w:rsidRPr="009B7F14">
        <w:t xml:space="preserve"> prior to the purchase, either in the project </w:t>
      </w:r>
      <w:r w:rsidR="00DE5468">
        <w:t>contract or by a later decision</w:t>
      </w:r>
    </w:p>
    <w:p w14:paraId="66AF4E93" w14:textId="77777777" w:rsidR="00DF022D" w:rsidRPr="009B7F14" w:rsidRDefault="00DF022D" w:rsidP="00920571">
      <w:pPr>
        <w:pStyle w:val="Heading3"/>
      </w:pPr>
      <w:r w:rsidRPr="009B7F14">
        <w:t>Costs of consumables and supplies</w:t>
      </w:r>
    </w:p>
    <w:p w14:paraId="6E6648EC" w14:textId="77777777" w:rsidR="00DF022D" w:rsidRPr="009B7F14" w:rsidRDefault="00DF022D" w:rsidP="00DF022D">
      <w:r w:rsidRPr="009B7F14">
        <w:t>Costs of consumables and supplies are eligible provided that they are identifiable and assigned to the project.</w:t>
      </w:r>
    </w:p>
    <w:p w14:paraId="650878AC" w14:textId="77777777" w:rsidR="00ED182F" w:rsidRPr="009B7F14" w:rsidRDefault="00ED182F" w:rsidP="00920571">
      <w:pPr>
        <w:pStyle w:val="Heading3"/>
      </w:pPr>
      <w:r w:rsidRPr="009B7F14">
        <w:t xml:space="preserve">Costs entailed by other contracts awarded by a </w:t>
      </w:r>
      <w:r w:rsidR="003134A1" w:rsidRPr="009B7F14">
        <w:t>PP</w:t>
      </w:r>
      <w:r w:rsidRPr="009B7F14">
        <w:t xml:space="preserve"> for </w:t>
      </w:r>
      <w:r w:rsidR="00D93A4B" w:rsidRPr="009B7F14">
        <w:t>project purposes</w:t>
      </w:r>
    </w:p>
    <w:p w14:paraId="110A50E7" w14:textId="77777777" w:rsidR="00ED182F" w:rsidRPr="009B7F14" w:rsidRDefault="00ED182F" w:rsidP="00376576">
      <w:r w:rsidRPr="009B7F14">
        <w:t xml:space="preserve">Where the implementation of the project requires the use of contracts, the partner(s) must </w:t>
      </w:r>
      <w:r w:rsidR="00211FCD" w:rsidRPr="009B7F14">
        <w:t>comply with the applicable (national and EU) public procurement legislation and with the respective provisions of the Regulation</w:t>
      </w:r>
      <w:r w:rsidRPr="009B7F14">
        <w:t>.</w:t>
      </w:r>
    </w:p>
    <w:p w14:paraId="53CE6F68" w14:textId="77777777" w:rsidR="00ED182F" w:rsidRPr="009B7F14" w:rsidRDefault="00ED182F" w:rsidP="00376576">
      <w:r w:rsidRPr="009B7F14">
        <w:t>Sub-contracting refers to contracts concluded for the externalisation of specific tasks or activities which form part of the project as described in the proposal. Such contracts must satisfy the conditions applicable to any contracts follo</w:t>
      </w:r>
      <w:r w:rsidR="00DF022D" w:rsidRPr="009B7F14">
        <w:t>wing the procurement procedures.</w:t>
      </w:r>
    </w:p>
    <w:p w14:paraId="3194B92E" w14:textId="77777777" w:rsidR="00503207" w:rsidRPr="009B7F14" w:rsidRDefault="00503207" w:rsidP="00920571">
      <w:pPr>
        <w:pStyle w:val="Heading3"/>
      </w:pPr>
      <w:r w:rsidRPr="009B7F14">
        <w:t>Costs arising directly from requirements imposed by the project contracts</w:t>
      </w:r>
    </w:p>
    <w:p w14:paraId="3190EFBB" w14:textId="77777777" w:rsidR="00503207" w:rsidRPr="009B7F14" w:rsidRDefault="009F7AB8" w:rsidP="009F7AB8">
      <w:r w:rsidRPr="009B7F14">
        <w:t>Eligible c</w:t>
      </w:r>
      <w:r w:rsidR="000F1CB1" w:rsidRPr="009B7F14">
        <w:t xml:space="preserve">osts arising directly from the requirements imposed by the Project Contract </w:t>
      </w:r>
      <w:r w:rsidRPr="009B7F14">
        <w:t xml:space="preserve">may include </w:t>
      </w:r>
      <w:r w:rsidR="000F1CB1" w:rsidRPr="009B7F14">
        <w:t>dissemination activities, report by an independent audit</w:t>
      </w:r>
      <w:r w:rsidRPr="009B7F14">
        <w:t>or, translations, catering etc.</w:t>
      </w:r>
      <w:r w:rsidR="000F1CB1" w:rsidRPr="009B7F14">
        <w:t>, provided that the corresponding services are purchased in accordance with the applicable rules on procurement</w:t>
      </w:r>
      <w:r w:rsidRPr="009B7F14">
        <w:t>.</w:t>
      </w:r>
    </w:p>
    <w:p w14:paraId="2049A07E" w14:textId="77777777" w:rsidR="00ED182F" w:rsidRPr="009B7F14" w:rsidRDefault="00ED182F" w:rsidP="00920571">
      <w:pPr>
        <w:pStyle w:val="Heading3"/>
      </w:pPr>
      <w:r w:rsidRPr="009B7F14">
        <w:t>Other categories of direct expenditure that may be considered eligible</w:t>
      </w:r>
    </w:p>
    <w:p w14:paraId="439EC728" w14:textId="6A6E6E73" w:rsidR="009F7AB8" w:rsidRPr="009B7F14" w:rsidRDefault="009F7AB8" w:rsidP="009F7AB8">
      <w:r w:rsidRPr="009B7F14">
        <w:t xml:space="preserve">With reference to Reg. Art. 8.3.3, the PO may, in exceptional and duly justified cases, suggest additional expenditure to be eligible or exclude certain expenditure listed above. Such deviations, if approved by the FMC, shall be explicitly stipulated in the </w:t>
      </w:r>
      <w:r w:rsidR="00AF054F">
        <w:t>PA.</w:t>
      </w:r>
    </w:p>
    <w:p w14:paraId="3D4B2B03" w14:textId="77777777" w:rsidR="00962AA6" w:rsidRPr="009B7F14" w:rsidRDefault="00962AA6" w:rsidP="00920571">
      <w:pPr>
        <w:pStyle w:val="Heading2"/>
      </w:pPr>
      <w:bookmarkStart w:id="32" w:name="_Toc460508676"/>
      <w:bookmarkStart w:id="33" w:name="_Ref462062597"/>
      <w:bookmarkStart w:id="34" w:name="_Toc484174837"/>
      <w:r w:rsidRPr="009B7F14">
        <w:rPr>
          <w:rStyle w:val="Heading2Char"/>
          <w:b/>
          <w:bCs/>
          <w:i/>
        </w:rPr>
        <w:t xml:space="preserve">Indirect expenditure in projects </w:t>
      </w:r>
      <w:r w:rsidRPr="009B7F14">
        <w:t>(Reg. art. 8.5)</w:t>
      </w:r>
      <w:bookmarkEnd w:id="32"/>
      <w:bookmarkEnd w:id="33"/>
      <w:bookmarkEnd w:id="34"/>
    </w:p>
    <w:p w14:paraId="07BDF7FF" w14:textId="77777777" w:rsidR="00962AA6" w:rsidRPr="009B7F14" w:rsidRDefault="00962AA6" w:rsidP="00376576">
      <w:r w:rsidRPr="009B7F14">
        <w:t xml:space="preserve">Indirect costs are </w:t>
      </w:r>
      <w:r w:rsidR="00D93A4B" w:rsidRPr="009B7F14">
        <w:t>not</w:t>
      </w:r>
      <w:r w:rsidRPr="009B7F14">
        <w:t xml:space="preserve"> directly attr</w:t>
      </w:r>
      <w:r w:rsidR="00D93A4B" w:rsidRPr="009B7F14">
        <w:t>ibuted to the project, but</w:t>
      </w:r>
      <w:r w:rsidRPr="009B7F14">
        <w:t xml:space="preserve"> can be identified and justified by its accounting system as being incurred in direct relationship with the eligible direct costs attributed to the project</w:t>
      </w:r>
      <w:r w:rsidRPr="009B7F14">
        <w:rPr>
          <w:rStyle w:val="FootnoteReference"/>
        </w:rPr>
        <w:footnoteReference w:id="8"/>
      </w:r>
      <w:r w:rsidRPr="009B7F14">
        <w:t>. The following methods for indirect cost identification are foreseen in Reg. Art. 8.5.1:</w:t>
      </w:r>
    </w:p>
    <w:p w14:paraId="1DDFA650" w14:textId="3572FAC2" w:rsidR="00962AA6" w:rsidRPr="009B7F14" w:rsidRDefault="00962AA6" w:rsidP="009F01EE">
      <w:pPr>
        <w:pStyle w:val="ListParagraph"/>
        <w:numPr>
          <w:ilvl w:val="0"/>
          <w:numId w:val="9"/>
        </w:numPr>
      </w:pPr>
      <w:r w:rsidRPr="009B7F14">
        <w:t xml:space="preserve">Based on actual indirect costs for those </w:t>
      </w:r>
      <w:r w:rsidR="003134A1" w:rsidRPr="009B7F14">
        <w:t>PP</w:t>
      </w:r>
      <w:r w:rsidRPr="009B7F14">
        <w:t xml:space="preserve">s and project partners that have an analytical accounting system </w:t>
      </w:r>
    </w:p>
    <w:p w14:paraId="27FC1924" w14:textId="170AA225" w:rsidR="00962AA6" w:rsidRPr="009B7F14" w:rsidRDefault="00962AA6" w:rsidP="009F01EE">
      <w:pPr>
        <w:pStyle w:val="ListParagraph"/>
        <w:numPr>
          <w:ilvl w:val="0"/>
          <w:numId w:val="9"/>
        </w:numPr>
      </w:pPr>
      <w:r w:rsidRPr="009B7F14">
        <w:t xml:space="preserve">A flat rate of up to 25% of total direct eligible costs, excluding direct eligible costs for subcontracting and the costs of resources made available by third parties which are not used on the premises of the </w:t>
      </w:r>
      <w:r w:rsidR="003134A1" w:rsidRPr="009B7F14">
        <w:t>PP</w:t>
      </w:r>
      <w:r w:rsidRPr="009B7F14">
        <w:t xml:space="preserve"> or project partner. The rate has to be calculated on the basis of a fair, equitable and verifiable calculation method</w:t>
      </w:r>
      <w:r w:rsidR="00503207" w:rsidRPr="009B7F14">
        <w:t xml:space="preserve"> or a method applied under schemes for grants funded entirely by the Beneficiary State for similar types of project and </w:t>
      </w:r>
      <w:r w:rsidR="009F7AB8" w:rsidRPr="009B7F14">
        <w:t>PP</w:t>
      </w:r>
    </w:p>
    <w:p w14:paraId="0D5D37E6" w14:textId="77777777" w:rsidR="00962AA6" w:rsidRPr="009B7F14" w:rsidRDefault="00962AA6" w:rsidP="009F01EE">
      <w:pPr>
        <w:pStyle w:val="ListParagraph"/>
        <w:numPr>
          <w:ilvl w:val="0"/>
          <w:numId w:val="9"/>
        </w:numPr>
      </w:pPr>
      <w:r w:rsidRPr="009B7F14">
        <w:t xml:space="preserve">A flat rate of up to 15% of direct eligible staff costs without there being a requirement for the </w:t>
      </w:r>
      <w:r w:rsidR="003134A1" w:rsidRPr="009B7F14">
        <w:t>PO</w:t>
      </w:r>
      <w:r w:rsidRPr="009B7F14">
        <w:t xml:space="preserve"> to perform a calculation to determine the applicable rate</w:t>
      </w:r>
    </w:p>
    <w:p w14:paraId="4C362069" w14:textId="77777777" w:rsidR="00962AA6" w:rsidRPr="009B7F14" w:rsidRDefault="00962AA6" w:rsidP="009F01EE">
      <w:pPr>
        <w:pStyle w:val="ListParagraph"/>
        <w:numPr>
          <w:ilvl w:val="0"/>
          <w:numId w:val="9"/>
        </w:numPr>
      </w:pPr>
      <w:r w:rsidRPr="009B7F14">
        <w:t xml:space="preserve">A flat rate applied to direct eligible costs based on existing methods and corresponding rates applicable in European Union policies for similar types of project and </w:t>
      </w:r>
      <w:r w:rsidR="003134A1" w:rsidRPr="009B7F14">
        <w:t>PP</w:t>
      </w:r>
      <w:r w:rsidRPr="009B7F14">
        <w:t xml:space="preserve"> </w:t>
      </w:r>
      <w:r w:rsidRPr="009B7F14">
        <w:rPr>
          <w:i/>
        </w:rPr>
        <w:t>(For example, under Horizon 2020)</w:t>
      </w:r>
    </w:p>
    <w:p w14:paraId="53863C47" w14:textId="18BB1FD0" w:rsidR="00962AA6" w:rsidRPr="009B7F14" w:rsidRDefault="00962AA6" w:rsidP="009F01EE">
      <w:pPr>
        <w:pStyle w:val="ListParagraph"/>
        <w:numPr>
          <w:ilvl w:val="0"/>
          <w:numId w:val="9"/>
        </w:numPr>
      </w:pPr>
      <w:r w:rsidRPr="009B7F14">
        <w:t xml:space="preserve">In case </w:t>
      </w:r>
      <w:r w:rsidR="00503207" w:rsidRPr="009B7F14">
        <w:t xml:space="preserve">of </w:t>
      </w:r>
      <w:r w:rsidR="003134A1" w:rsidRPr="009B7F14">
        <w:t>PP</w:t>
      </w:r>
      <w:r w:rsidRPr="009B7F14">
        <w:t xml:space="preserve"> or project partners that are international organisations or bodies or agencies thereof, indirect costs may, in line with specific provisions in the </w:t>
      </w:r>
      <w:r w:rsidR="00AF054F">
        <w:t>PA</w:t>
      </w:r>
      <w:r w:rsidRPr="009B7F14">
        <w:t>, be identified in accordance with the relevant rules es</w:t>
      </w:r>
      <w:r w:rsidR="00DE5468">
        <w:t>tablished by such organisations</w:t>
      </w:r>
    </w:p>
    <w:p w14:paraId="5FC34B5B" w14:textId="77777777" w:rsidR="00962AA6" w:rsidRPr="009B7F14" w:rsidRDefault="00962AA6" w:rsidP="00376576">
      <w:r w:rsidRPr="009B7F14">
        <w:t xml:space="preserve">The method of calculating the indirect costs and their maximum amount shall be determined in the project contract and in the partnership agreement between the </w:t>
      </w:r>
      <w:r w:rsidR="003134A1" w:rsidRPr="009B7F14">
        <w:t>PP</w:t>
      </w:r>
      <w:r w:rsidRPr="009B7F14">
        <w:t xml:space="preserve"> and project partner. </w:t>
      </w:r>
    </w:p>
    <w:p w14:paraId="622EBA8C" w14:textId="77777777" w:rsidR="00962AA6" w:rsidRPr="009B7F14" w:rsidRDefault="00962AA6" w:rsidP="00376576">
      <w:r w:rsidRPr="009B7F14">
        <w:t xml:space="preserve">The </w:t>
      </w:r>
      <w:r w:rsidR="003134A1" w:rsidRPr="009B7F14">
        <w:t>PO</w:t>
      </w:r>
      <w:r w:rsidRPr="009B7F14">
        <w:t>s should think through the use of the indirect cost method at the early stage of the Programme preparation.</w:t>
      </w:r>
    </w:p>
    <w:p w14:paraId="35B77A8E" w14:textId="2E0C3523" w:rsidR="00962AA6" w:rsidRPr="009B7F14" w:rsidRDefault="00962AA6" w:rsidP="00376576">
      <w:r w:rsidRPr="009B7F14">
        <w:t xml:space="preserve">In justified cases, the PO may restrict the eligibility of indirect costs. Such restrictions would require approval by the </w:t>
      </w:r>
      <w:r w:rsidR="009F7AB8" w:rsidRPr="009B7F14">
        <w:t>FMO</w:t>
      </w:r>
      <w:r w:rsidRPr="009B7F14">
        <w:t xml:space="preserve"> and shall be explicitly stipulated in the </w:t>
      </w:r>
      <w:r w:rsidR="00AF054F">
        <w:t>PA</w:t>
      </w:r>
      <w:r w:rsidRPr="009B7F14">
        <w:t xml:space="preserve">. </w:t>
      </w:r>
    </w:p>
    <w:p w14:paraId="5AE5706D" w14:textId="77777777" w:rsidR="00C17964" w:rsidRPr="009B7F14" w:rsidRDefault="004B18EE" w:rsidP="00920571">
      <w:pPr>
        <w:pStyle w:val="Heading2"/>
      </w:pPr>
      <w:bookmarkStart w:id="35" w:name="_Ref462062630"/>
      <w:bookmarkStart w:id="36" w:name="_Ref462062660"/>
      <w:bookmarkStart w:id="37" w:name="_Ref462062685"/>
      <w:bookmarkStart w:id="38" w:name="_Toc484174838"/>
      <w:r w:rsidRPr="009B7F14">
        <w:t>Standard scales of unit costs (</w:t>
      </w:r>
      <w:r w:rsidR="00CD3B04" w:rsidRPr="009B7F14">
        <w:t xml:space="preserve">Reg. </w:t>
      </w:r>
      <w:r w:rsidRPr="009B7F14">
        <w:t>art. 8.4)</w:t>
      </w:r>
      <w:bookmarkEnd w:id="35"/>
      <w:bookmarkEnd w:id="36"/>
      <w:bookmarkEnd w:id="37"/>
      <w:bookmarkEnd w:id="38"/>
    </w:p>
    <w:p w14:paraId="2F16F372" w14:textId="77777777" w:rsidR="009B09B4" w:rsidRPr="009B7F14" w:rsidRDefault="009B09B4" w:rsidP="00376576">
      <w:r w:rsidRPr="009B7F14">
        <w:t>Project grants may take the form of standard scales of unit costs and established</w:t>
      </w:r>
      <w:r w:rsidR="00AD03DD" w:rsidRPr="009B7F14">
        <w:t xml:space="preserve"> in one of the following ways</w:t>
      </w:r>
      <w:r w:rsidR="00962AA6" w:rsidRPr="009B7F14">
        <w:t>:</w:t>
      </w:r>
    </w:p>
    <w:p w14:paraId="1E861AD5" w14:textId="77777777" w:rsidR="009B09B4" w:rsidRPr="009B7F14" w:rsidRDefault="009B09B4" w:rsidP="009F01EE">
      <w:pPr>
        <w:pStyle w:val="ListParagraph"/>
        <w:numPr>
          <w:ilvl w:val="0"/>
          <w:numId w:val="21"/>
        </w:numPr>
      </w:pPr>
      <w:r w:rsidRPr="009B7F14">
        <w:t xml:space="preserve">In accordance with the rules of application of corresponding scales of unit costs applicable in </w:t>
      </w:r>
      <w:r w:rsidR="00D93A4B" w:rsidRPr="009B7F14">
        <w:t xml:space="preserve">European </w:t>
      </w:r>
      <w:r w:rsidRPr="009B7F14">
        <w:t xml:space="preserve">Union policies for similar type of project of </w:t>
      </w:r>
      <w:r w:rsidR="003134A1" w:rsidRPr="009B7F14">
        <w:t>PP</w:t>
      </w:r>
      <w:r w:rsidRPr="009B7F14">
        <w:t xml:space="preserve"> or partner</w:t>
      </w:r>
    </w:p>
    <w:p w14:paraId="19C01C9F" w14:textId="77777777" w:rsidR="009B09B4" w:rsidRPr="009B7F14" w:rsidRDefault="009B09B4" w:rsidP="009F01EE">
      <w:pPr>
        <w:pStyle w:val="ListParagraph"/>
        <w:numPr>
          <w:ilvl w:val="0"/>
          <w:numId w:val="21"/>
        </w:numPr>
      </w:pPr>
      <w:r w:rsidRPr="009B7F14">
        <w:t xml:space="preserve">In accordance with the rules for application of corresponding scales of unit costs applied under schemes for grants funded entirely by the Beneficiary State where the </w:t>
      </w:r>
      <w:r w:rsidR="003134A1" w:rsidRPr="009B7F14">
        <w:t>PP</w:t>
      </w:r>
      <w:r w:rsidRPr="009B7F14">
        <w:t xml:space="preserve"> or partner is located, or the Donor State where the </w:t>
      </w:r>
      <w:proofErr w:type="spellStart"/>
      <w:r w:rsidR="003134A1" w:rsidRPr="009B7F14">
        <w:t>dpp</w:t>
      </w:r>
      <w:proofErr w:type="spellEnd"/>
      <w:r w:rsidRPr="009B7F14">
        <w:t xml:space="preserve"> is located, for similar types of projects and entities involved.</w:t>
      </w:r>
    </w:p>
    <w:p w14:paraId="7A16BEEC" w14:textId="752DAD04" w:rsidR="009B09B4" w:rsidRPr="009B7F14" w:rsidRDefault="009B09B4" w:rsidP="00376576">
      <w:r w:rsidRPr="009B7F14">
        <w:t xml:space="preserve">A case-by-case examination on the possibility to re-use existing rates and approaches developed for other EU Programmes and national grants is necessary. When re-using an existing method, the </w:t>
      </w:r>
      <w:r w:rsidR="003134A1" w:rsidRPr="009B7F14">
        <w:t>PO</w:t>
      </w:r>
      <w:r w:rsidRPr="009B7F14">
        <w:t xml:space="preserve">s should ensure that the totality of the method is applied, and that the method will be applied to similar types of projects and entities involved. </w:t>
      </w:r>
    </w:p>
    <w:p w14:paraId="55A768A8" w14:textId="1A792250" w:rsidR="009B09B4" w:rsidRPr="009B7F14" w:rsidRDefault="009B09B4" w:rsidP="00376576">
      <w:r w:rsidRPr="009B7F14">
        <w:t xml:space="preserve">The method to be applied, the scope of their use (i.e. the category of projects and activities </w:t>
      </w:r>
      <w:r w:rsidR="00D93A4B" w:rsidRPr="009B7F14">
        <w:t>for which they will be applied</w:t>
      </w:r>
      <w:r w:rsidRPr="009B7F14">
        <w:t xml:space="preserve">) and the conditions for payment should be well thought-through by the </w:t>
      </w:r>
      <w:r w:rsidR="003134A1" w:rsidRPr="009B7F14">
        <w:t>PO</w:t>
      </w:r>
      <w:r w:rsidRPr="009B7F14">
        <w:t>s at the early stage of the programme preparation, and published in the document setting out the conditions for financing, e.g. in the open call text.</w:t>
      </w:r>
    </w:p>
    <w:p w14:paraId="1266D7DD" w14:textId="27BA8C47" w:rsidR="009B09B4" w:rsidRPr="009B7F14" w:rsidRDefault="009B09B4" w:rsidP="00376576">
      <w:r w:rsidRPr="009B7F14">
        <w:t>Their use, amount and the way they are established shall be determined in the project contract</w:t>
      </w:r>
      <w:r w:rsidR="00AD03DD" w:rsidRPr="009B7F14">
        <w:t xml:space="preserve"> and stipulated</w:t>
      </w:r>
      <w:r w:rsidRPr="009B7F14">
        <w:t xml:space="preserve"> in the partnership agreement between the PP and the project partner.</w:t>
      </w:r>
    </w:p>
    <w:p w14:paraId="0E74032B" w14:textId="3AA43A03" w:rsidR="009B09B4" w:rsidRPr="009B7F14" w:rsidRDefault="00F34088" w:rsidP="00376576">
      <w:r w:rsidRPr="009B7F14">
        <w:rPr>
          <w:rStyle w:val="Heading2Char"/>
          <w:b w:val="0"/>
          <w:bCs w:val="0"/>
          <w:i w:val="0"/>
          <w:noProof/>
          <w:lang w:eastAsia="en-GB"/>
        </w:rPr>
        <mc:AlternateContent>
          <mc:Choice Requires="wps">
            <w:drawing>
              <wp:anchor distT="45720" distB="45720" distL="114300" distR="114300" simplePos="0" relativeHeight="251691008" behindDoc="0" locked="0" layoutInCell="1" allowOverlap="1" wp14:anchorId="143769CA" wp14:editId="4A918114">
                <wp:simplePos x="0" y="0"/>
                <wp:positionH relativeFrom="column">
                  <wp:posOffset>38100</wp:posOffset>
                </wp:positionH>
                <wp:positionV relativeFrom="paragraph">
                  <wp:posOffset>786765</wp:posOffset>
                </wp:positionV>
                <wp:extent cx="5667375" cy="20669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2066925"/>
                        </a:xfrm>
                        <a:prstGeom prst="rect">
                          <a:avLst/>
                        </a:prstGeom>
                        <a:solidFill>
                          <a:srgbClr val="FFFFFF"/>
                        </a:solidFill>
                        <a:ln w="9525">
                          <a:solidFill>
                            <a:srgbClr val="000000"/>
                          </a:solidFill>
                          <a:miter lim="800000"/>
                          <a:headEnd/>
                          <a:tailEnd/>
                        </a:ln>
                      </wps:spPr>
                      <wps:txbx>
                        <w:txbxContent>
                          <w:p w14:paraId="7E189764" w14:textId="77777777" w:rsidR="00A87AB3" w:rsidRPr="00ED13FE" w:rsidRDefault="00A87AB3" w:rsidP="00ED13FE">
                            <w:pPr>
                              <w:rPr>
                                <w:b/>
                                <w:sz w:val="18"/>
                                <w:szCs w:val="20"/>
                              </w:rPr>
                            </w:pPr>
                            <w:r w:rsidRPr="00ED13FE">
                              <w:rPr>
                                <w:b/>
                                <w:sz w:val="18"/>
                                <w:szCs w:val="20"/>
                              </w:rPr>
                              <w:t>Example:</w:t>
                            </w:r>
                            <w:r w:rsidRPr="00ED13FE">
                              <w:rPr>
                                <w:sz w:val="18"/>
                                <w:szCs w:val="20"/>
                              </w:rPr>
                              <w:t xml:space="preserve"> of grant support to travel costs (Erasmus+ Programme):</w:t>
                            </w:r>
                          </w:p>
                          <w:p w14:paraId="1074C819" w14:textId="77777777" w:rsidR="00A87AB3" w:rsidRPr="00ED13FE" w:rsidRDefault="00A87AB3" w:rsidP="009F01EE">
                            <w:pPr>
                              <w:pStyle w:val="ListParagraph"/>
                              <w:numPr>
                                <w:ilvl w:val="0"/>
                                <w:numId w:val="6"/>
                              </w:numPr>
                              <w:rPr>
                                <w:sz w:val="18"/>
                                <w:szCs w:val="20"/>
                              </w:rPr>
                            </w:pPr>
                            <w:r w:rsidRPr="00ED13FE">
                              <w:rPr>
                                <w:sz w:val="18"/>
                                <w:szCs w:val="20"/>
                              </w:rPr>
                              <w:t xml:space="preserve"> Certain types of projects in the field of R&amp;D and innovation often involve personnel costs as a key element. The application of standard scales of unit costs is expressed in this case as an hourly rate applied to hours effectively worked by the staff. It is defined in advance in the document setting out the conditions for support that fixes the maximum amount of financial assistance as the maximum worked hours allowed multiplied by the unit cost. </w:t>
                            </w:r>
                          </w:p>
                          <w:p w14:paraId="6B2D28CB" w14:textId="77777777" w:rsidR="00A87AB3" w:rsidRPr="00ED13FE" w:rsidRDefault="00A87AB3" w:rsidP="00B0619B">
                            <w:pPr>
                              <w:rPr>
                                <w:sz w:val="18"/>
                                <w:szCs w:val="20"/>
                              </w:rPr>
                            </w:pPr>
                            <w:r w:rsidRPr="00ED13FE">
                              <w:rPr>
                                <w:sz w:val="18"/>
                                <w:szCs w:val="20"/>
                              </w:rPr>
                              <w:t xml:space="preserve">Other examples which could fall under the scope: </w:t>
                            </w:r>
                          </w:p>
                          <w:p w14:paraId="3E82D90D" w14:textId="77777777" w:rsidR="00A87AB3" w:rsidRPr="00ED13FE" w:rsidRDefault="00A87AB3" w:rsidP="009F01EE">
                            <w:pPr>
                              <w:pStyle w:val="ListParagraph"/>
                              <w:numPr>
                                <w:ilvl w:val="0"/>
                                <w:numId w:val="19"/>
                              </w:numPr>
                              <w:autoSpaceDE w:val="0"/>
                              <w:autoSpaceDN w:val="0"/>
                              <w:adjustRightInd w:val="0"/>
                              <w:spacing w:after="0" w:line="240" w:lineRule="auto"/>
                              <w:rPr>
                                <w:sz w:val="18"/>
                                <w:szCs w:val="20"/>
                              </w:rPr>
                            </w:pPr>
                            <w:r>
                              <w:rPr>
                                <w:sz w:val="18"/>
                                <w:szCs w:val="20"/>
                              </w:rPr>
                              <w:t>C</w:t>
                            </w:r>
                            <w:r w:rsidRPr="00ED13FE">
                              <w:rPr>
                                <w:sz w:val="18"/>
                                <w:szCs w:val="20"/>
                              </w:rPr>
                              <w:t>osts directly linked to the subsistence of participants during the project activity (based on the duration of the stay per participant)</w:t>
                            </w:r>
                          </w:p>
                          <w:p w14:paraId="3CCD9161" w14:textId="77777777" w:rsidR="00A87AB3" w:rsidRPr="00ED13FE" w:rsidRDefault="00A87AB3" w:rsidP="009F01EE">
                            <w:pPr>
                              <w:pStyle w:val="ListParagraph"/>
                              <w:numPr>
                                <w:ilvl w:val="0"/>
                                <w:numId w:val="19"/>
                              </w:numPr>
                              <w:autoSpaceDE w:val="0"/>
                              <w:autoSpaceDN w:val="0"/>
                              <w:adjustRightInd w:val="0"/>
                              <w:spacing w:after="0" w:line="240" w:lineRule="auto"/>
                              <w:rPr>
                                <w:sz w:val="18"/>
                                <w:szCs w:val="20"/>
                              </w:rPr>
                            </w:pPr>
                            <w:r>
                              <w:rPr>
                                <w:sz w:val="18"/>
                                <w:szCs w:val="20"/>
                              </w:rPr>
                              <w:t>U</w:t>
                            </w:r>
                            <w:r w:rsidRPr="00ED13FE">
                              <w:rPr>
                                <w:sz w:val="18"/>
                                <w:szCs w:val="20"/>
                              </w:rPr>
                              <w:t xml:space="preserve">nit costs per day of work on the project per staff category for tangible deliverables of the project (such as work materials, tools, analyses, studies, methods, etc.) </w:t>
                            </w:r>
                          </w:p>
                          <w:p w14:paraId="354EFEEB" w14:textId="77777777" w:rsidR="00A87AB3" w:rsidRPr="00ED13FE" w:rsidRDefault="00A87AB3">
                            <w:pPr>
                              <w:rPr>
                                <w:sz w:val="18"/>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3769CA" id="_x0000_s1038" type="#_x0000_t202" style="position:absolute;left:0;text-align:left;margin-left:3pt;margin-top:61.95pt;width:446.25pt;height:162.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">
                <v:textbox>
                  <w:txbxContent>
                    <w:p w14:paraId="7E189764" w14:textId="77777777" w:rsidR="00A87AB3" w:rsidRPr="00ED13FE" w:rsidRDefault="00A87AB3" w:rsidP="00ED13FE">
                      <w:pPr>
                        <w:rPr>
                          <w:b/>
                          <w:sz w:val="18"/>
                          <w:szCs w:val="20"/>
                        </w:rPr>
                      </w:pPr>
                      <w:r w:rsidRPr="00ED13FE">
                        <w:rPr>
                          <w:b/>
                          <w:sz w:val="18"/>
                          <w:szCs w:val="20"/>
                        </w:rPr>
                        <w:t>Example:</w:t>
                      </w:r>
                      <w:r w:rsidRPr="00ED13FE">
                        <w:rPr>
                          <w:sz w:val="18"/>
                          <w:szCs w:val="20"/>
                        </w:rPr>
                        <w:t xml:space="preserve"> of grant support to travel costs (Erasmus+ Programme):</w:t>
                      </w:r>
                    </w:p>
                    <w:p w14:paraId="1074C819" w14:textId="77777777" w:rsidR="00A87AB3" w:rsidRPr="00ED13FE" w:rsidRDefault="00A87AB3" w:rsidP="009F01EE">
                      <w:pPr>
                        <w:pStyle w:val="ListParagraph"/>
                        <w:numPr>
                          <w:ilvl w:val="0"/>
                          <w:numId w:val="6"/>
                        </w:numPr>
                        <w:rPr>
                          <w:sz w:val="18"/>
                          <w:szCs w:val="20"/>
                        </w:rPr>
                      </w:pPr>
                      <w:r w:rsidRPr="00ED13FE">
                        <w:rPr>
                          <w:sz w:val="18"/>
                          <w:szCs w:val="20"/>
                        </w:rPr>
                        <w:t xml:space="preserve"> Certain types of projects in the field of R&amp;D and innovation often involve personnel costs as a key element. The application of standard scales of unit costs is expressed in this case as an hourly rate applied to hours effectively worked by the staff. It is defined in advance in the document setting out the conditions for support that fixes the maximum amount of financial assistance as the maximum worked hours allowed multiplied by the unit cost. </w:t>
                      </w:r>
                    </w:p>
                    <w:p w14:paraId="6B2D28CB" w14:textId="77777777" w:rsidR="00A87AB3" w:rsidRPr="00ED13FE" w:rsidRDefault="00A87AB3" w:rsidP="00B0619B">
                      <w:pPr>
                        <w:rPr>
                          <w:sz w:val="18"/>
                          <w:szCs w:val="20"/>
                        </w:rPr>
                      </w:pPr>
                      <w:r w:rsidRPr="00ED13FE">
                        <w:rPr>
                          <w:sz w:val="18"/>
                          <w:szCs w:val="20"/>
                        </w:rPr>
                        <w:t xml:space="preserve">Other examples which could fall under the scope: </w:t>
                      </w:r>
                    </w:p>
                    <w:p w14:paraId="3E82D90D" w14:textId="77777777" w:rsidR="00A87AB3" w:rsidRPr="00ED13FE" w:rsidRDefault="00A87AB3" w:rsidP="009F01EE">
                      <w:pPr>
                        <w:pStyle w:val="ListParagraph"/>
                        <w:numPr>
                          <w:ilvl w:val="0"/>
                          <w:numId w:val="19"/>
                        </w:numPr>
                        <w:autoSpaceDE w:val="0"/>
                        <w:autoSpaceDN w:val="0"/>
                        <w:adjustRightInd w:val="0"/>
                        <w:spacing w:after="0" w:line="240" w:lineRule="auto"/>
                        <w:rPr>
                          <w:sz w:val="18"/>
                          <w:szCs w:val="20"/>
                        </w:rPr>
                      </w:pPr>
                      <w:r>
                        <w:rPr>
                          <w:sz w:val="18"/>
                          <w:szCs w:val="20"/>
                        </w:rPr>
                        <w:t>C</w:t>
                      </w:r>
                      <w:r w:rsidRPr="00ED13FE">
                        <w:rPr>
                          <w:sz w:val="18"/>
                          <w:szCs w:val="20"/>
                        </w:rPr>
                        <w:t>osts directly linked to the subsistence of participants during the project activity (based on the duration of the stay per participant)</w:t>
                      </w:r>
                    </w:p>
                    <w:p w14:paraId="3CCD9161" w14:textId="77777777" w:rsidR="00A87AB3" w:rsidRPr="00ED13FE" w:rsidRDefault="00A87AB3" w:rsidP="009F01EE">
                      <w:pPr>
                        <w:pStyle w:val="ListParagraph"/>
                        <w:numPr>
                          <w:ilvl w:val="0"/>
                          <w:numId w:val="19"/>
                        </w:numPr>
                        <w:autoSpaceDE w:val="0"/>
                        <w:autoSpaceDN w:val="0"/>
                        <w:adjustRightInd w:val="0"/>
                        <w:spacing w:after="0" w:line="240" w:lineRule="auto"/>
                        <w:rPr>
                          <w:sz w:val="18"/>
                          <w:szCs w:val="20"/>
                        </w:rPr>
                      </w:pPr>
                      <w:r>
                        <w:rPr>
                          <w:sz w:val="18"/>
                          <w:szCs w:val="20"/>
                        </w:rPr>
                        <w:t>U</w:t>
                      </w:r>
                      <w:r w:rsidRPr="00ED13FE">
                        <w:rPr>
                          <w:sz w:val="18"/>
                          <w:szCs w:val="20"/>
                        </w:rPr>
                        <w:t xml:space="preserve">nit costs per day of work on the project per staff category for tangible deliverables of the project (such as work materials, tools, analyses, studies, methods, etc.) </w:t>
                      </w:r>
                    </w:p>
                    <w:p w14:paraId="354EFEEB" w14:textId="77777777" w:rsidR="00A87AB3" w:rsidRPr="00ED13FE" w:rsidRDefault="00A87AB3">
                      <w:pPr>
                        <w:rPr>
                          <w:sz w:val="18"/>
                          <w:szCs w:val="20"/>
                        </w:rPr>
                      </w:pPr>
                    </w:p>
                  </w:txbxContent>
                </v:textbox>
                <w10:wrap type="square"/>
              </v:shape>
            </w:pict>
          </mc:Fallback>
        </mc:AlternateContent>
      </w:r>
      <w:r w:rsidR="009B09B4" w:rsidRPr="009B7F14">
        <w:t xml:space="preserve">All the applicable national methods could be used on the condition that </w:t>
      </w:r>
      <w:r w:rsidR="00D93A4B" w:rsidRPr="009B7F14">
        <w:t>they</w:t>
      </w:r>
      <w:r w:rsidR="009B09B4" w:rsidRPr="009B7F14">
        <w:t xml:space="preserve"> are also in use for projects supported exclusively by national funds, outside any sort of EU support or external aid. When re-using the existing national method, the </w:t>
      </w:r>
      <w:r w:rsidR="003134A1" w:rsidRPr="009B7F14">
        <w:t>PO</w:t>
      </w:r>
      <w:r w:rsidR="009B09B4" w:rsidRPr="009B7F14">
        <w:t xml:space="preserve"> should also ensure that it applies to the same geographical area or region.</w:t>
      </w:r>
    </w:p>
    <w:p w14:paraId="13AA3FD9" w14:textId="77777777" w:rsidR="009B09B4" w:rsidRPr="009B7F14" w:rsidRDefault="00D93A4B" w:rsidP="00376576">
      <w:r w:rsidRPr="009B7F14">
        <w:t>No other</w:t>
      </w:r>
      <w:r w:rsidR="009B09B4" w:rsidRPr="009B7F14">
        <w:t xml:space="preserve"> method to establish new standard scales of unit costs, </w:t>
      </w:r>
      <w:r w:rsidRPr="009B7F14">
        <w:t>i.e.</w:t>
      </w:r>
      <w:r w:rsidR="009B09B4" w:rsidRPr="009B7F14">
        <w:t xml:space="preserve"> by means the statistical analysis of historical data or based on the collection of past accounting data of the </w:t>
      </w:r>
      <w:r w:rsidR="003134A1" w:rsidRPr="009B7F14">
        <w:t>PP</w:t>
      </w:r>
      <w:r w:rsidR="003604CE" w:rsidRPr="009B7F14">
        <w:t>, is a</w:t>
      </w:r>
      <w:r w:rsidR="009B09B4" w:rsidRPr="009B7F14">
        <w:t>p</w:t>
      </w:r>
      <w:r w:rsidR="003604CE" w:rsidRPr="009B7F14">
        <w:t>p</w:t>
      </w:r>
      <w:r w:rsidR="009B09B4" w:rsidRPr="009B7F14">
        <w:t xml:space="preserve">licable under the Regulation. </w:t>
      </w:r>
    </w:p>
    <w:p w14:paraId="0560164B" w14:textId="77777777" w:rsidR="009B09B4" w:rsidRPr="009B7F14" w:rsidRDefault="009B09B4" w:rsidP="00376576">
      <w:r w:rsidRPr="009B7F14">
        <w:t xml:space="preserve">When </w:t>
      </w:r>
      <w:r w:rsidR="003604CE" w:rsidRPr="009B7F14">
        <w:t>deciding to use standard scales of unit costs, the PO must pay attention to</w:t>
      </w:r>
      <w:r w:rsidRPr="009B7F14">
        <w:t xml:space="preserve">: </w:t>
      </w:r>
    </w:p>
    <w:p w14:paraId="5243E009" w14:textId="7AE600D6" w:rsidR="009B09B4" w:rsidRPr="009B7F14" w:rsidRDefault="009B09B4" w:rsidP="009F01EE">
      <w:pPr>
        <w:pStyle w:val="ListParagraph"/>
        <w:numPr>
          <w:ilvl w:val="0"/>
          <w:numId w:val="20"/>
        </w:numPr>
      </w:pPr>
      <w:r w:rsidRPr="009B7F14">
        <w:t>The correlation between the realised quantities and the payments – when the quantities decrease (in comparison with the maximum initially set out), the eligible costs will decrease, independen</w:t>
      </w:r>
      <w:r w:rsidR="00254720">
        <w:t>tly of the underlying real cost</w:t>
      </w:r>
      <w:r w:rsidRPr="009B7F14">
        <w:t xml:space="preserve"> </w:t>
      </w:r>
    </w:p>
    <w:p w14:paraId="10F69A3B" w14:textId="77DD2062" w:rsidR="009B09B4" w:rsidRPr="009B7F14" w:rsidRDefault="009B09B4" w:rsidP="009F01EE">
      <w:pPr>
        <w:pStyle w:val="ListParagraph"/>
        <w:numPr>
          <w:ilvl w:val="0"/>
          <w:numId w:val="20"/>
        </w:numPr>
      </w:pPr>
      <w:r w:rsidRPr="009B7F14">
        <w:t xml:space="preserve">Audits and verifications should cover the calculation method for arriving at the standard scales of unit costs (checked at the </w:t>
      </w:r>
      <w:r w:rsidR="003134A1" w:rsidRPr="009B7F14">
        <w:t>PO</w:t>
      </w:r>
      <w:r w:rsidRPr="009B7F14">
        <w:t xml:space="preserve"> level), the correct application of the method in the individual projects (checked at </w:t>
      </w:r>
      <w:r w:rsidR="003134A1" w:rsidRPr="009B7F14">
        <w:t>PP</w:t>
      </w:r>
      <w:r w:rsidRPr="009B7F14">
        <w:t xml:space="preserve"> level) and that the conditions for eligibility of expenditure on the basis of standard scales of</w:t>
      </w:r>
      <w:r w:rsidR="00254720">
        <w:t xml:space="preserve"> unit costs have been fulfilled</w:t>
      </w:r>
      <w:r w:rsidRPr="009B7F14">
        <w:t xml:space="preserve">  </w:t>
      </w:r>
    </w:p>
    <w:p w14:paraId="5F877E8E" w14:textId="77777777" w:rsidR="009B09B4" w:rsidRPr="009B7F14" w:rsidRDefault="0025335E" w:rsidP="00A87AB3">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noProof/>
          <w:color w:val="1F4E79" w:themeColor="accent1" w:themeShade="80"/>
        </w:rPr>
      </w:pPr>
      <w:r w:rsidRPr="009B7F14">
        <w:rPr>
          <w:noProof/>
          <w:color w:val="1F4E79" w:themeColor="accent1" w:themeShade="80"/>
        </w:rPr>
        <w:t>Unit cost x</w:t>
      </w:r>
      <w:r w:rsidR="009B09B4" w:rsidRPr="009B7F14">
        <w:rPr>
          <w:noProof/>
          <w:color w:val="1F4E79" w:themeColor="accent1" w:themeShade="80"/>
        </w:rPr>
        <w:t xml:space="preserve"> number of units = maximum eligible cost of unit category</w:t>
      </w:r>
    </w:p>
    <w:p w14:paraId="6C0F0578" w14:textId="77777777" w:rsidR="00B4569F" w:rsidRPr="009B7F14" w:rsidRDefault="009B7F14" w:rsidP="00920571">
      <w:pPr>
        <w:pStyle w:val="Heading2"/>
      </w:pPr>
      <w:bookmarkStart w:id="39" w:name="_Ref462062633"/>
      <w:bookmarkStart w:id="40" w:name="_Ref462062689"/>
      <w:r>
        <w:rPr>
          <w:rStyle w:val="Heading2Char"/>
          <w:b/>
          <w:bCs/>
          <w:i/>
        </w:rPr>
        <w:t xml:space="preserve"> </w:t>
      </w:r>
      <w:bookmarkStart w:id="41" w:name="_Toc484174839"/>
      <w:r w:rsidR="002530A6" w:rsidRPr="009B7F14">
        <w:rPr>
          <w:rStyle w:val="Heading2Char"/>
          <w:b/>
          <w:bCs/>
          <w:i/>
        </w:rPr>
        <w:t>N</w:t>
      </w:r>
      <w:r w:rsidR="00663240" w:rsidRPr="009B7F14">
        <w:rPr>
          <w:rStyle w:val="Heading2Char"/>
          <w:b/>
          <w:bCs/>
          <w:i/>
        </w:rPr>
        <w:t>on-eligible expenditure – Excluded costs</w:t>
      </w:r>
      <w:r w:rsidR="00C32ADD" w:rsidRPr="009B7F14">
        <w:t xml:space="preserve"> (</w:t>
      </w:r>
      <w:r w:rsidR="00E80443" w:rsidRPr="009B7F14">
        <w:t>Reg</w:t>
      </w:r>
      <w:r w:rsidR="00CD3B04" w:rsidRPr="009B7F14">
        <w:t xml:space="preserve">. </w:t>
      </w:r>
      <w:r w:rsidR="00E80443" w:rsidRPr="009B7F14">
        <w:t>Art</w:t>
      </w:r>
      <w:r w:rsidR="00C32ADD" w:rsidRPr="009B7F14">
        <w:t>. 8.7</w:t>
      </w:r>
      <w:r w:rsidR="00B4569F" w:rsidRPr="009B7F14">
        <w:t>)</w:t>
      </w:r>
      <w:bookmarkEnd w:id="39"/>
      <w:bookmarkEnd w:id="40"/>
      <w:bookmarkEnd w:id="41"/>
    </w:p>
    <w:p w14:paraId="1751BE6A" w14:textId="77777777" w:rsidR="00681CEA" w:rsidRPr="009B7F14" w:rsidRDefault="00962AA6" w:rsidP="00376576">
      <w:r w:rsidRPr="009B7F14">
        <w:t xml:space="preserve">Reg. </w:t>
      </w:r>
      <w:r w:rsidR="00681CEA" w:rsidRPr="009B7F14">
        <w:t>Art</w:t>
      </w:r>
      <w:r w:rsidR="00C32ADD" w:rsidRPr="009B7F14">
        <w:t>.</w:t>
      </w:r>
      <w:r w:rsidR="00681CEA" w:rsidRPr="009B7F14">
        <w:t xml:space="preserve"> </w:t>
      </w:r>
      <w:r w:rsidRPr="009B7F14">
        <w:t>8.7</w:t>
      </w:r>
      <w:r w:rsidR="00681CEA" w:rsidRPr="009B7F14">
        <w:t xml:space="preserve"> provides a list of the co</w:t>
      </w:r>
      <w:r w:rsidR="00C32ADD" w:rsidRPr="009B7F14">
        <w:t xml:space="preserve">sts which are </w:t>
      </w:r>
      <w:r w:rsidR="00B9272D" w:rsidRPr="009B7F14">
        <w:t xml:space="preserve">not considered </w:t>
      </w:r>
      <w:r w:rsidR="00681CEA" w:rsidRPr="009B7F14">
        <w:t xml:space="preserve">eligible and should consequently </w:t>
      </w:r>
      <w:r w:rsidR="00B9272D" w:rsidRPr="009B7F14">
        <w:t xml:space="preserve">not </w:t>
      </w:r>
      <w:r w:rsidR="002530A6" w:rsidRPr="009B7F14">
        <w:t xml:space="preserve">be supported </w:t>
      </w:r>
      <w:r w:rsidR="00681CEA" w:rsidRPr="009B7F14">
        <w:t xml:space="preserve">with the funds from the </w:t>
      </w:r>
      <w:r w:rsidR="002530A6" w:rsidRPr="009B7F14">
        <w:t>Financial Mechanisms</w:t>
      </w:r>
      <w:r w:rsidR="00C32ADD" w:rsidRPr="009B7F14">
        <w:t>:</w:t>
      </w:r>
    </w:p>
    <w:p w14:paraId="360298B0" w14:textId="79305605" w:rsidR="00681CEA" w:rsidRPr="009B7F14" w:rsidRDefault="00681CEA" w:rsidP="009F01EE">
      <w:pPr>
        <w:pStyle w:val="ListParagraph"/>
        <w:numPr>
          <w:ilvl w:val="0"/>
          <w:numId w:val="10"/>
        </w:numPr>
      </w:pPr>
      <w:r w:rsidRPr="009B7F14">
        <w:t>Any interest on loans or financial charges/penalties for late payments (</w:t>
      </w:r>
      <w:r w:rsidR="00CD3B04" w:rsidRPr="009B7F14">
        <w:t xml:space="preserve">Reg. </w:t>
      </w:r>
      <w:r w:rsidRPr="009B7F14">
        <w:t xml:space="preserve">Art </w:t>
      </w:r>
      <w:r w:rsidR="00C32ADD" w:rsidRPr="009B7F14">
        <w:t>8</w:t>
      </w:r>
      <w:r w:rsidRPr="009B7F14">
        <w:t>.</w:t>
      </w:r>
      <w:r w:rsidR="00C32ADD" w:rsidRPr="009B7F14">
        <w:t>7</w:t>
      </w:r>
      <w:r w:rsidRPr="009B7F14">
        <w:t xml:space="preserve">.2 </w:t>
      </w:r>
      <w:r w:rsidR="007C4691" w:rsidRPr="009B7F14">
        <w:t>(</w:t>
      </w:r>
      <w:r w:rsidRPr="009B7F14">
        <w:t>a</w:t>
      </w:r>
      <w:r w:rsidR="007C4691" w:rsidRPr="009B7F14">
        <w:t>)</w:t>
      </w:r>
      <w:r w:rsidRPr="009B7F14">
        <w:t>)</w:t>
      </w:r>
    </w:p>
    <w:p w14:paraId="1CA869E9" w14:textId="77777777" w:rsidR="00350734" w:rsidRPr="009B7F14" w:rsidRDefault="00350734" w:rsidP="00376576">
      <w:pPr>
        <w:pStyle w:val="ListParagraph"/>
        <w:ind w:left="1077"/>
      </w:pPr>
      <w:r w:rsidRPr="009B7F14">
        <w:t xml:space="preserve">This means that any interest costs on loans taken, also in relation to the project, cannot be considered as an eligible cost. </w:t>
      </w:r>
      <w:r w:rsidR="005F1DD9" w:rsidRPr="009B7F14">
        <w:t>The same goes for</w:t>
      </w:r>
      <w:r w:rsidRPr="009B7F14">
        <w:t xml:space="preserve"> any penalties</w:t>
      </w:r>
      <w:r w:rsidR="005F1DD9" w:rsidRPr="009B7F14">
        <w:t>/charges</w:t>
      </w:r>
      <w:r w:rsidRPr="009B7F14">
        <w:t xml:space="preserve"> related to late payments</w:t>
      </w:r>
      <w:r w:rsidR="005F1DD9" w:rsidRPr="009B7F14">
        <w:t xml:space="preserve"> of </w:t>
      </w:r>
      <w:r w:rsidR="00973651" w:rsidRPr="009B7F14">
        <w:t>invoices</w:t>
      </w:r>
      <w:r w:rsidRPr="009B7F14">
        <w:t>.</w:t>
      </w:r>
    </w:p>
    <w:p w14:paraId="03F3DE8C" w14:textId="4E60F8EC" w:rsidR="00B9272D" w:rsidRPr="009B7F14" w:rsidRDefault="00681CEA" w:rsidP="009F01EE">
      <w:pPr>
        <w:pStyle w:val="ListParagraph"/>
        <w:numPr>
          <w:ilvl w:val="0"/>
          <w:numId w:val="10"/>
        </w:numPr>
      </w:pPr>
      <w:r w:rsidRPr="009B7F14">
        <w:t xml:space="preserve">Charges for financial transactions and other purely financial costs </w:t>
      </w:r>
      <w:r w:rsidR="00C32ADD" w:rsidRPr="009B7F14">
        <w:t>(</w:t>
      </w:r>
      <w:r w:rsidR="00CD3B04" w:rsidRPr="009B7F14">
        <w:t xml:space="preserve">Reg. </w:t>
      </w:r>
      <w:r w:rsidR="007C4691" w:rsidRPr="009B7F14">
        <w:t>Art 8.7.2 (</w:t>
      </w:r>
      <w:r w:rsidRPr="009B7F14">
        <w:t>b</w:t>
      </w:r>
      <w:r w:rsidR="007C4691" w:rsidRPr="009B7F14">
        <w:t>)</w:t>
      </w:r>
      <w:r w:rsidRPr="009B7F14">
        <w:t>)</w:t>
      </w:r>
    </w:p>
    <w:p w14:paraId="3DAD5E9A" w14:textId="77777777" w:rsidR="008262DD" w:rsidRPr="009B7F14" w:rsidRDefault="00AC1552" w:rsidP="008E3D30">
      <w:pPr>
        <w:pStyle w:val="ListParagraph"/>
        <w:ind w:left="1077"/>
      </w:pPr>
      <w:r w:rsidRPr="009B7F14">
        <w:t>E.g</w:t>
      </w:r>
      <w:r w:rsidR="00D93A4B" w:rsidRPr="009B7F14">
        <w:t>.</w:t>
      </w:r>
      <w:r w:rsidR="008262DD" w:rsidRPr="009B7F14">
        <w:t xml:space="preserve"> expenses relat</w:t>
      </w:r>
      <w:r w:rsidR="004A31C5" w:rsidRPr="009B7F14">
        <w:t>ed to hedging an exchange rate by buying a forward contract locking in a future e</w:t>
      </w:r>
      <w:r w:rsidR="00D93A4B" w:rsidRPr="009B7F14">
        <w:t>xchange rate.</w:t>
      </w:r>
    </w:p>
    <w:p w14:paraId="3F130732" w14:textId="18C90F31" w:rsidR="003253A6" w:rsidRPr="009B7F14" w:rsidRDefault="003253A6" w:rsidP="008E3D30">
      <w:pPr>
        <w:pStyle w:val="ListParagraph"/>
        <w:ind w:left="1077"/>
      </w:pPr>
      <w:r w:rsidRPr="009B7F14">
        <w:t>Not eligible unless required in the project contract</w:t>
      </w:r>
      <w:r w:rsidR="00BE6F8F">
        <w:t>.</w:t>
      </w:r>
    </w:p>
    <w:p w14:paraId="5807ED6B" w14:textId="793A605B" w:rsidR="00B9272D" w:rsidRPr="009B7F14" w:rsidRDefault="00681CEA" w:rsidP="009F01EE">
      <w:pPr>
        <w:pStyle w:val="ListParagraph"/>
        <w:numPr>
          <w:ilvl w:val="0"/>
          <w:numId w:val="10"/>
        </w:numPr>
      </w:pPr>
      <w:r w:rsidRPr="009B7F14">
        <w:t>Provisions for losses or potential future liabilities (</w:t>
      </w:r>
      <w:r w:rsidR="00CD3B04" w:rsidRPr="009B7F14">
        <w:t xml:space="preserve">Reg. </w:t>
      </w:r>
      <w:r w:rsidRPr="009B7F14">
        <w:t>Art</w:t>
      </w:r>
      <w:r w:rsidR="00EA6998" w:rsidRPr="009B7F14">
        <w:t>.</w:t>
      </w:r>
      <w:r w:rsidRPr="009B7F14">
        <w:t xml:space="preserve"> </w:t>
      </w:r>
      <w:r w:rsidR="00B9272D" w:rsidRPr="009B7F14">
        <w:t>8</w:t>
      </w:r>
      <w:r w:rsidRPr="009B7F14">
        <w:t>.</w:t>
      </w:r>
      <w:r w:rsidR="00B9272D" w:rsidRPr="009B7F14">
        <w:t>7</w:t>
      </w:r>
      <w:r w:rsidRPr="009B7F14">
        <w:t xml:space="preserve">.2 </w:t>
      </w:r>
      <w:r w:rsidR="007C4691" w:rsidRPr="009B7F14">
        <w:t>(c)</w:t>
      </w:r>
      <w:r w:rsidRPr="009B7F14">
        <w:t>)</w:t>
      </w:r>
    </w:p>
    <w:p w14:paraId="432BFD0F" w14:textId="77777777" w:rsidR="00973651" w:rsidRPr="009B7F14" w:rsidRDefault="009F7AB8" w:rsidP="008E3D30">
      <w:pPr>
        <w:pStyle w:val="ListParagraph"/>
        <w:ind w:left="1077"/>
      </w:pPr>
      <w:r w:rsidRPr="009B7F14">
        <w:t>E.g.</w:t>
      </w:r>
      <w:r w:rsidR="008262DD" w:rsidRPr="009B7F14">
        <w:t xml:space="preserve"> </w:t>
      </w:r>
      <w:r w:rsidR="002E277A" w:rsidRPr="009B7F14">
        <w:t xml:space="preserve">possible </w:t>
      </w:r>
      <w:r w:rsidR="008262DD" w:rsidRPr="009B7F14">
        <w:t>expense related to a warranty claim on a product sold.</w:t>
      </w:r>
    </w:p>
    <w:p w14:paraId="09980477" w14:textId="4F8F6F1B" w:rsidR="008E3D30" w:rsidRDefault="00B9272D" w:rsidP="009F01EE">
      <w:pPr>
        <w:pStyle w:val="ListParagraph"/>
        <w:numPr>
          <w:ilvl w:val="0"/>
          <w:numId w:val="10"/>
        </w:numPr>
      </w:pPr>
      <w:r w:rsidRPr="009B7F14">
        <w:t>E</w:t>
      </w:r>
      <w:r w:rsidR="00681CEA" w:rsidRPr="009B7F14">
        <w:t xml:space="preserve">xchange rate losses </w:t>
      </w:r>
      <w:r w:rsidRPr="009B7F14">
        <w:t>(</w:t>
      </w:r>
      <w:r w:rsidR="00CD3B04" w:rsidRPr="009B7F14">
        <w:t xml:space="preserve">Reg. </w:t>
      </w:r>
      <w:r w:rsidRPr="009B7F14">
        <w:t>Art</w:t>
      </w:r>
      <w:r w:rsidR="0005321B" w:rsidRPr="009B7F14">
        <w:t>.</w:t>
      </w:r>
      <w:r w:rsidRPr="009B7F14">
        <w:t xml:space="preserve"> 8</w:t>
      </w:r>
      <w:r w:rsidR="00681CEA" w:rsidRPr="009B7F14">
        <w:t>.</w:t>
      </w:r>
      <w:r w:rsidRPr="009B7F14">
        <w:t>7</w:t>
      </w:r>
      <w:r w:rsidR="007C4691" w:rsidRPr="009B7F14">
        <w:t>.2 (</w:t>
      </w:r>
      <w:r w:rsidR="00681CEA" w:rsidRPr="009B7F14">
        <w:t>d</w:t>
      </w:r>
      <w:r w:rsidR="007C4691" w:rsidRPr="009B7F14">
        <w:t>)</w:t>
      </w:r>
      <w:r w:rsidR="00AC1552" w:rsidRPr="009B7F14">
        <w:t xml:space="preserve"> and </w:t>
      </w:r>
      <w:r w:rsidRPr="009B7F14">
        <w:t>9</w:t>
      </w:r>
      <w:r w:rsidR="000660FF" w:rsidRPr="009B7F14">
        <w:t>.6.4</w:t>
      </w:r>
      <w:r w:rsidR="00AC1552" w:rsidRPr="009B7F14">
        <w:t>)</w:t>
      </w:r>
    </w:p>
    <w:p w14:paraId="27EFFECE" w14:textId="6DE47242" w:rsidR="007F22A2" w:rsidRDefault="0012618C" w:rsidP="00F37581">
      <w:pPr>
        <w:pStyle w:val="ListParagraph"/>
        <w:ind w:left="1077"/>
      </w:pPr>
      <w:r>
        <w:rPr>
          <w:noProof/>
          <w:lang w:eastAsia="en-GB"/>
        </w:rPr>
        <mc:AlternateContent>
          <mc:Choice Requires="wps">
            <w:drawing>
              <wp:anchor distT="0" distB="0" distL="114300" distR="114300" simplePos="0" relativeHeight="251726848" behindDoc="0" locked="0" layoutInCell="1" allowOverlap="1" wp14:anchorId="7A2D2C41" wp14:editId="1714DC66">
                <wp:simplePos x="0" y="0"/>
                <wp:positionH relativeFrom="column">
                  <wp:posOffset>-38100</wp:posOffset>
                </wp:positionH>
                <wp:positionV relativeFrom="paragraph">
                  <wp:posOffset>915670</wp:posOffset>
                </wp:positionV>
                <wp:extent cx="5895975" cy="2047875"/>
                <wp:effectExtent l="0" t="0" r="28575" b="28575"/>
                <wp:wrapSquare wrapText="bothSides"/>
                <wp:docPr id="13" name="Rectangle 13"/>
                <wp:cNvGraphicFramePr/>
                <a:graphic xmlns:a="http://schemas.openxmlformats.org/drawingml/2006/main">
                  <a:graphicData uri="http://schemas.microsoft.com/office/word/2010/wordprocessingShape">
                    <wps:wsp>
                      <wps:cNvSpPr/>
                      <wps:spPr>
                        <a:xfrm>
                          <a:off x="0" y="0"/>
                          <a:ext cx="5895975" cy="204787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4DB6379D" w14:textId="77777777" w:rsidR="00A87AB3" w:rsidRPr="00ED13FE" w:rsidRDefault="00A87AB3" w:rsidP="008E3D30">
                            <w:pPr>
                              <w:rPr>
                                <w:b/>
                                <w:sz w:val="18"/>
                              </w:rPr>
                            </w:pPr>
                            <w:r w:rsidRPr="00ED13FE">
                              <w:rPr>
                                <w:b/>
                                <w:sz w:val="18"/>
                              </w:rPr>
                              <w:t>Examples of eligibility of exchange rate losses:</w:t>
                            </w:r>
                          </w:p>
                          <w:p w14:paraId="62806D8E" w14:textId="77777777" w:rsidR="00A87AB3" w:rsidRPr="00ED13FE" w:rsidRDefault="00A87AB3" w:rsidP="008E3D30">
                            <w:pPr>
                              <w:rPr>
                                <w:sz w:val="18"/>
                              </w:rPr>
                            </w:pPr>
                            <w:r w:rsidRPr="00ED13FE">
                              <w:rPr>
                                <w:sz w:val="18"/>
                              </w:rPr>
                              <w:t>Not eligible:</w:t>
                            </w:r>
                          </w:p>
                          <w:p w14:paraId="73F7D386" w14:textId="77777777" w:rsidR="00A87AB3" w:rsidRPr="00ED13FE" w:rsidRDefault="00A87AB3" w:rsidP="009F01EE">
                            <w:pPr>
                              <w:pStyle w:val="ListParagraph"/>
                              <w:numPr>
                                <w:ilvl w:val="0"/>
                                <w:numId w:val="33"/>
                              </w:numPr>
                              <w:jc w:val="left"/>
                              <w:rPr>
                                <w:sz w:val="18"/>
                              </w:rPr>
                            </w:pPr>
                            <w:r w:rsidRPr="00ED13FE">
                              <w:rPr>
                                <w:sz w:val="18"/>
                              </w:rPr>
                              <w:t>Losses arising due to reporting in IFRs on incurred expenditure are not eligible</w:t>
                            </w:r>
                          </w:p>
                          <w:p w14:paraId="057AADF3" w14:textId="245EAEBD" w:rsidR="00A87AB3" w:rsidRPr="00ED13FE" w:rsidRDefault="00A87AB3" w:rsidP="009F01EE">
                            <w:pPr>
                              <w:pStyle w:val="ListParagraph"/>
                              <w:numPr>
                                <w:ilvl w:val="0"/>
                                <w:numId w:val="33"/>
                              </w:numPr>
                              <w:jc w:val="left"/>
                              <w:rPr>
                                <w:sz w:val="18"/>
                              </w:rPr>
                            </w:pPr>
                            <w:r>
                              <w:rPr>
                                <w:sz w:val="18"/>
                              </w:rPr>
                              <w:t>If a project spent</w:t>
                            </w:r>
                            <w:r w:rsidRPr="00ED13FE">
                              <w:rPr>
                                <w:sz w:val="18"/>
                              </w:rPr>
                              <w:t xml:space="preserve"> the full </w:t>
                            </w:r>
                            <w:r>
                              <w:rPr>
                                <w:sz w:val="18"/>
                              </w:rPr>
                              <w:t>euro</w:t>
                            </w:r>
                            <w:r w:rsidRPr="00ED13FE">
                              <w:rPr>
                                <w:sz w:val="18"/>
                              </w:rPr>
                              <w:t xml:space="preserve"> amount but not the whole budget in local currency, the grant paid from the programme will </w:t>
                            </w:r>
                            <w:r>
                              <w:rPr>
                                <w:sz w:val="18"/>
                              </w:rPr>
                              <w:t xml:space="preserve">not </w:t>
                            </w:r>
                            <w:r w:rsidRPr="00ED13FE">
                              <w:rPr>
                                <w:sz w:val="18"/>
                              </w:rPr>
                              <w:t>support any amount beyond t</w:t>
                            </w:r>
                            <w:r>
                              <w:rPr>
                                <w:sz w:val="18"/>
                              </w:rPr>
                              <w:t>he project grant awarded in euro</w:t>
                            </w:r>
                            <w:r w:rsidRPr="00ED13FE">
                              <w:rPr>
                                <w:sz w:val="18"/>
                              </w:rPr>
                              <w:t xml:space="preserve"> </w:t>
                            </w:r>
                          </w:p>
                          <w:p w14:paraId="4E6FF6E7" w14:textId="77777777" w:rsidR="00A87AB3" w:rsidRPr="00ED13FE" w:rsidRDefault="00A87AB3" w:rsidP="008E3D30">
                            <w:pPr>
                              <w:rPr>
                                <w:sz w:val="18"/>
                              </w:rPr>
                            </w:pPr>
                            <w:r w:rsidRPr="00ED13FE">
                              <w:rPr>
                                <w:sz w:val="18"/>
                              </w:rPr>
                              <w:t>Eligible:</w:t>
                            </w:r>
                          </w:p>
                          <w:p w14:paraId="385FDB87" w14:textId="5BFC6A96" w:rsidR="00A87AB3" w:rsidRPr="00ED13FE" w:rsidRDefault="00A87AB3" w:rsidP="009F01EE">
                            <w:pPr>
                              <w:pStyle w:val="ListParagraph"/>
                              <w:numPr>
                                <w:ilvl w:val="0"/>
                                <w:numId w:val="34"/>
                              </w:numPr>
                              <w:jc w:val="left"/>
                              <w:rPr>
                                <w:sz w:val="18"/>
                              </w:rPr>
                            </w:pPr>
                            <w:r w:rsidRPr="00ED13FE">
                              <w:rPr>
                                <w:sz w:val="18"/>
                              </w:rPr>
                              <w:t xml:space="preserve">Observed losses due to varying exchange rates within a project is normally acceptable provided this can be covered within the approved </w:t>
                            </w:r>
                            <w:r>
                              <w:rPr>
                                <w:sz w:val="18"/>
                              </w:rPr>
                              <w:t>euro</w:t>
                            </w:r>
                            <w:r w:rsidRPr="00ED13FE">
                              <w:rPr>
                                <w:sz w:val="18"/>
                              </w:rPr>
                              <w:t xml:space="preserve"> project grant. Internal changes to the budget sections can be treated as</w:t>
                            </w:r>
                            <w:r>
                              <w:rPr>
                                <w:sz w:val="18"/>
                              </w:rPr>
                              <w:t xml:space="preserve"> a change to the project cost (budget)</w:t>
                            </w:r>
                          </w:p>
                          <w:p w14:paraId="50759B31" w14:textId="77777777" w:rsidR="00A87AB3" w:rsidRPr="00ED13FE" w:rsidRDefault="00A87AB3" w:rsidP="008E3D30">
                            <w:pPr>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D2C41" id="Rectangle 13" o:spid="_x0000_s1039" style="position:absolute;left:0;text-align:left;margin-left:-3pt;margin-top:72.1pt;width:464.25pt;height:161.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" fillcolor="white [3201]" strokecolor="black [3200]" strokeweight=".5pt">
                <v:textbox>
                  <w:txbxContent>
                    <w:p w14:paraId="4DB6379D" w14:textId="77777777" w:rsidR="00A87AB3" w:rsidRPr="00ED13FE" w:rsidRDefault="00A87AB3" w:rsidP="008E3D30">
                      <w:pPr>
                        <w:rPr>
                          <w:b/>
                          <w:sz w:val="18"/>
                        </w:rPr>
                      </w:pPr>
                      <w:r w:rsidRPr="00ED13FE">
                        <w:rPr>
                          <w:b/>
                          <w:sz w:val="18"/>
                        </w:rPr>
                        <w:t>Examples of eligibility of exchange rate losses:</w:t>
                      </w:r>
                    </w:p>
                    <w:p w14:paraId="62806D8E" w14:textId="77777777" w:rsidR="00A87AB3" w:rsidRPr="00ED13FE" w:rsidRDefault="00A87AB3" w:rsidP="008E3D30">
                      <w:pPr>
                        <w:rPr>
                          <w:sz w:val="18"/>
                        </w:rPr>
                      </w:pPr>
                      <w:r w:rsidRPr="00ED13FE">
                        <w:rPr>
                          <w:sz w:val="18"/>
                        </w:rPr>
                        <w:t>Not eligible:</w:t>
                      </w:r>
                    </w:p>
                    <w:p w14:paraId="73F7D386" w14:textId="77777777" w:rsidR="00A87AB3" w:rsidRPr="00ED13FE" w:rsidRDefault="00A87AB3" w:rsidP="009F01EE">
                      <w:pPr>
                        <w:pStyle w:val="ListParagraph"/>
                        <w:numPr>
                          <w:ilvl w:val="0"/>
                          <w:numId w:val="33"/>
                        </w:numPr>
                        <w:jc w:val="left"/>
                        <w:rPr>
                          <w:sz w:val="18"/>
                        </w:rPr>
                      </w:pPr>
                      <w:r w:rsidRPr="00ED13FE">
                        <w:rPr>
                          <w:sz w:val="18"/>
                        </w:rPr>
                        <w:t>Losses arising due to reporting in IFRs on incurred expenditure are not eligible</w:t>
                      </w:r>
                    </w:p>
                    <w:p w14:paraId="057AADF3" w14:textId="245EAEBD" w:rsidR="00A87AB3" w:rsidRPr="00ED13FE" w:rsidRDefault="00A87AB3" w:rsidP="009F01EE">
                      <w:pPr>
                        <w:pStyle w:val="ListParagraph"/>
                        <w:numPr>
                          <w:ilvl w:val="0"/>
                          <w:numId w:val="33"/>
                        </w:numPr>
                        <w:jc w:val="left"/>
                        <w:rPr>
                          <w:sz w:val="18"/>
                        </w:rPr>
                      </w:pPr>
                      <w:r>
                        <w:rPr>
                          <w:sz w:val="18"/>
                        </w:rPr>
                        <w:t>If a project spent</w:t>
                      </w:r>
                      <w:r w:rsidRPr="00ED13FE">
                        <w:rPr>
                          <w:sz w:val="18"/>
                        </w:rPr>
                        <w:t xml:space="preserve"> the full </w:t>
                      </w:r>
                      <w:r>
                        <w:rPr>
                          <w:sz w:val="18"/>
                        </w:rPr>
                        <w:t>euro</w:t>
                      </w:r>
                      <w:r w:rsidRPr="00ED13FE">
                        <w:rPr>
                          <w:sz w:val="18"/>
                        </w:rPr>
                        <w:t xml:space="preserve"> amount but not the whole budget in local currency, the grant paid from the programme will </w:t>
                      </w:r>
                      <w:r>
                        <w:rPr>
                          <w:sz w:val="18"/>
                        </w:rPr>
                        <w:t xml:space="preserve">not </w:t>
                      </w:r>
                      <w:r w:rsidRPr="00ED13FE">
                        <w:rPr>
                          <w:sz w:val="18"/>
                        </w:rPr>
                        <w:t>support any amount beyond t</w:t>
                      </w:r>
                      <w:r>
                        <w:rPr>
                          <w:sz w:val="18"/>
                        </w:rPr>
                        <w:t>he project grant awarded in euro</w:t>
                      </w:r>
                      <w:r w:rsidRPr="00ED13FE">
                        <w:rPr>
                          <w:sz w:val="18"/>
                        </w:rPr>
                        <w:t xml:space="preserve"> </w:t>
                      </w:r>
                    </w:p>
                    <w:p w14:paraId="4E6FF6E7" w14:textId="77777777" w:rsidR="00A87AB3" w:rsidRPr="00ED13FE" w:rsidRDefault="00A87AB3" w:rsidP="008E3D30">
                      <w:pPr>
                        <w:rPr>
                          <w:sz w:val="18"/>
                        </w:rPr>
                      </w:pPr>
                      <w:r w:rsidRPr="00ED13FE">
                        <w:rPr>
                          <w:sz w:val="18"/>
                        </w:rPr>
                        <w:t>Eligible:</w:t>
                      </w:r>
                    </w:p>
                    <w:p w14:paraId="385FDB87" w14:textId="5BFC6A96" w:rsidR="00A87AB3" w:rsidRPr="00ED13FE" w:rsidRDefault="00A87AB3" w:rsidP="009F01EE">
                      <w:pPr>
                        <w:pStyle w:val="ListParagraph"/>
                        <w:numPr>
                          <w:ilvl w:val="0"/>
                          <w:numId w:val="34"/>
                        </w:numPr>
                        <w:jc w:val="left"/>
                        <w:rPr>
                          <w:sz w:val="18"/>
                        </w:rPr>
                      </w:pPr>
                      <w:r w:rsidRPr="00ED13FE">
                        <w:rPr>
                          <w:sz w:val="18"/>
                        </w:rPr>
                        <w:t xml:space="preserve">Observed losses due to varying exchange rates within a project is normally acceptable provided this can be covered within the approved </w:t>
                      </w:r>
                      <w:r>
                        <w:rPr>
                          <w:sz w:val="18"/>
                        </w:rPr>
                        <w:t>euro</w:t>
                      </w:r>
                      <w:r w:rsidRPr="00ED13FE">
                        <w:rPr>
                          <w:sz w:val="18"/>
                        </w:rPr>
                        <w:t xml:space="preserve"> project grant. Internal changes to the budget sections can be treated as</w:t>
                      </w:r>
                      <w:r>
                        <w:rPr>
                          <w:sz w:val="18"/>
                        </w:rPr>
                        <w:t xml:space="preserve"> a change to the project cost (budget)</w:t>
                      </w:r>
                    </w:p>
                    <w:p w14:paraId="50759B31" w14:textId="77777777" w:rsidR="00A87AB3" w:rsidRPr="00ED13FE" w:rsidRDefault="00A87AB3" w:rsidP="008E3D30">
                      <w:pPr>
                        <w:jc w:val="center"/>
                        <w:rPr>
                          <w:sz w:val="18"/>
                        </w:rPr>
                      </w:pPr>
                    </w:p>
                  </w:txbxContent>
                </v:textbox>
                <w10:wrap type="square"/>
              </v:rect>
            </w:pict>
          </mc:Fallback>
        </mc:AlternateContent>
      </w:r>
      <w:r w:rsidR="008E3D30">
        <w:t>Exchange rate losses are</w:t>
      </w:r>
      <w:r w:rsidR="003A09D4" w:rsidRPr="009B7F14">
        <w:t xml:space="preserve"> most</w:t>
      </w:r>
      <w:r w:rsidR="008E3D30">
        <w:t>ly</w:t>
      </w:r>
      <w:r w:rsidR="003A09D4" w:rsidRPr="009B7F14">
        <w:t xml:space="preserve"> relevant for non-euro countries</w:t>
      </w:r>
      <w:r w:rsidR="00225E99" w:rsidRPr="009B7F14">
        <w:t>.</w:t>
      </w:r>
      <w:r w:rsidR="00E53C90" w:rsidRPr="009B7F14">
        <w:t xml:space="preserve"> More details</w:t>
      </w:r>
      <w:r w:rsidR="008E3D30">
        <w:t xml:space="preserve"> can be found </w:t>
      </w:r>
      <w:r w:rsidR="00E53C90" w:rsidRPr="009B7F14">
        <w:t>in A</w:t>
      </w:r>
      <w:r w:rsidR="00F37581">
        <w:t>nnex 5.4</w:t>
      </w:r>
      <w:r>
        <w:t xml:space="preserve"> “Exchange rate losses”</w:t>
      </w:r>
      <w:r w:rsidR="008E3D30">
        <w:t>.</w:t>
      </w:r>
      <w:r w:rsidR="0033438B">
        <w:t xml:space="preserve"> </w:t>
      </w:r>
      <w:r w:rsidR="00F37581">
        <w:t>Please note</w:t>
      </w:r>
      <w:r w:rsidR="0033438B">
        <w:t xml:space="preserve"> that the </w:t>
      </w:r>
      <w:r w:rsidR="00F37581">
        <w:t>D</w:t>
      </w:r>
      <w:r w:rsidR="0033438B">
        <w:t xml:space="preserve">onors cannot be held liable to pay more in </w:t>
      </w:r>
      <w:r w:rsidR="00EF3B6D">
        <w:t>euro</w:t>
      </w:r>
      <w:r w:rsidR="0033438B">
        <w:t xml:space="preserve"> than what they have committed to. Furthermore, a project cannot get more </w:t>
      </w:r>
      <w:r w:rsidR="00EF3B6D">
        <w:t>euro</w:t>
      </w:r>
      <w:r w:rsidR="0033438B">
        <w:t xml:space="preserve"> than awarded from the programme grant.</w:t>
      </w:r>
    </w:p>
    <w:p w14:paraId="1A889D20" w14:textId="77777777" w:rsidR="00F37581" w:rsidRPr="009B7F14" w:rsidRDefault="00F37581" w:rsidP="00F37581">
      <w:pPr>
        <w:pStyle w:val="ListParagraph"/>
        <w:ind w:left="1077"/>
      </w:pPr>
    </w:p>
    <w:p w14:paraId="3D0EF9CE" w14:textId="5D4AE60D" w:rsidR="00973651" w:rsidRPr="009B7F14" w:rsidRDefault="00B9272D" w:rsidP="009F01EE">
      <w:pPr>
        <w:pStyle w:val="ListParagraph"/>
        <w:numPr>
          <w:ilvl w:val="0"/>
          <w:numId w:val="10"/>
        </w:numPr>
      </w:pPr>
      <w:r w:rsidRPr="009B7F14">
        <w:t>Recoverable VAT (</w:t>
      </w:r>
      <w:r w:rsidR="00CD3B04" w:rsidRPr="009B7F14">
        <w:t xml:space="preserve">Reg. </w:t>
      </w:r>
      <w:r w:rsidRPr="009B7F14">
        <w:t>Art</w:t>
      </w:r>
      <w:r w:rsidR="0005321B" w:rsidRPr="009B7F14">
        <w:t>.</w:t>
      </w:r>
      <w:r w:rsidRPr="009B7F14">
        <w:t xml:space="preserve"> 8.7.2 </w:t>
      </w:r>
      <w:r w:rsidR="007C4691" w:rsidRPr="009B7F14">
        <w:t>(e)</w:t>
      </w:r>
      <w:r w:rsidR="00254720">
        <w:t>)</w:t>
      </w:r>
      <w:r w:rsidRPr="009B7F14">
        <w:t xml:space="preserve"> </w:t>
      </w:r>
    </w:p>
    <w:p w14:paraId="02922CEE" w14:textId="77777777" w:rsidR="00B9272D" w:rsidRPr="009B7F14" w:rsidRDefault="00B9272D" w:rsidP="00376576">
      <w:pPr>
        <w:pStyle w:val="ListParagraph"/>
        <w:ind w:left="1077"/>
      </w:pPr>
      <w:r w:rsidRPr="009B7F14">
        <w:t xml:space="preserve">This means that if a </w:t>
      </w:r>
      <w:r w:rsidR="003134A1" w:rsidRPr="009B7F14">
        <w:t>PP</w:t>
      </w:r>
      <w:r w:rsidR="004A31C5" w:rsidRPr="009B7F14">
        <w:t xml:space="preserve"> can recover any</w:t>
      </w:r>
      <w:r w:rsidRPr="009B7F14">
        <w:t xml:space="preserve"> VAT paid at a later stage, the VAT paid cannot be considered as an eligible expenditure even if it has not yet been recovered;</w:t>
      </w:r>
    </w:p>
    <w:p w14:paraId="3CD258D0" w14:textId="49D9BBCB" w:rsidR="004A31C5" w:rsidRPr="009B7F14" w:rsidRDefault="00B9272D" w:rsidP="009F01EE">
      <w:pPr>
        <w:pStyle w:val="ListParagraph"/>
        <w:numPr>
          <w:ilvl w:val="0"/>
          <w:numId w:val="10"/>
        </w:numPr>
      </w:pPr>
      <w:r w:rsidRPr="009B7F14">
        <w:t>Costs that are covered by other sources (</w:t>
      </w:r>
      <w:r w:rsidR="00CD3B04" w:rsidRPr="009B7F14">
        <w:t xml:space="preserve">Reg. </w:t>
      </w:r>
      <w:r w:rsidRPr="009B7F14">
        <w:t xml:space="preserve">Art 8.7.2 </w:t>
      </w:r>
      <w:r w:rsidR="007C4691" w:rsidRPr="009B7F14">
        <w:t>(</w:t>
      </w:r>
      <w:r w:rsidRPr="009B7F14">
        <w:t>f</w:t>
      </w:r>
      <w:r w:rsidR="007C4691" w:rsidRPr="009B7F14">
        <w:t>)</w:t>
      </w:r>
      <w:r w:rsidR="00254720">
        <w:t>)</w:t>
      </w:r>
    </w:p>
    <w:p w14:paraId="6CA5FFCD" w14:textId="77777777" w:rsidR="00B9272D" w:rsidRPr="009B7F14" w:rsidRDefault="004A31C5" w:rsidP="00376576">
      <w:pPr>
        <w:pStyle w:val="ListParagraph"/>
        <w:ind w:left="1077"/>
      </w:pPr>
      <w:r w:rsidRPr="009B7F14">
        <w:t>T</w:t>
      </w:r>
      <w:r w:rsidR="00585D64" w:rsidRPr="009B7F14">
        <w:t xml:space="preserve">he purpose </w:t>
      </w:r>
      <w:r w:rsidRPr="009B7F14">
        <w:t xml:space="preserve">is to avoid double funding and </w:t>
      </w:r>
      <w:r w:rsidR="00585D64" w:rsidRPr="009B7F14">
        <w:t>covering</w:t>
      </w:r>
      <w:r w:rsidR="00B9272D" w:rsidRPr="009B7F14">
        <w:t xml:space="preserve"> costs which have already been funded by </w:t>
      </w:r>
      <w:r w:rsidR="009F7AB8" w:rsidRPr="009B7F14">
        <w:t>other sources and/or</w:t>
      </w:r>
      <w:r w:rsidR="0051121A" w:rsidRPr="009B7F14">
        <w:t xml:space="preserve"> types of grants</w:t>
      </w:r>
      <w:r w:rsidR="00B9272D" w:rsidRPr="009B7F14">
        <w:t xml:space="preserve">. </w:t>
      </w:r>
      <w:r w:rsidR="009F7AB8" w:rsidRPr="009B7F14">
        <w:t>E.g. if</w:t>
      </w:r>
      <w:r w:rsidR="00562A13" w:rsidRPr="009B7F14">
        <w:t xml:space="preserve"> the</w:t>
      </w:r>
      <w:r w:rsidR="00B9272D" w:rsidRPr="009B7F14">
        <w:t xml:space="preserve"> full price of an equipment purchased previously </w:t>
      </w:r>
      <w:r w:rsidR="00562A13" w:rsidRPr="009B7F14">
        <w:t>has been funded</w:t>
      </w:r>
      <w:r w:rsidR="00B9272D" w:rsidRPr="009B7F14">
        <w:t xml:space="preserve"> from another grant, the depreciation of this </w:t>
      </w:r>
      <w:r w:rsidR="00FC33D4" w:rsidRPr="009B7F14">
        <w:t xml:space="preserve">equipment </w:t>
      </w:r>
      <w:r w:rsidR="00B9272D" w:rsidRPr="009B7F14">
        <w:t>cannot be eligible within a project</w:t>
      </w:r>
      <w:r w:rsidR="004439F6" w:rsidRPr="009B7F14">
        <w:t>. However any such co-financing</w:t>
      </w:r>
      <w:r w:rsidR="00130AE0" w:rsidRPr="009B7F14">
        <w:t xml:space="preserve"> </w:t>
      </w:r>
      <w:r w:rsidR="000660FF" w:rsidRPr="009B7F14">
        <w:t>will</w:t>
      </w:r>
      <w:r w:rsidR="004439F6" w:rsidRPr="009B7F14">
        <w:t xml:space="preserve"> have to comply with the Regulation</w:t>
      </w:r>
      <w:r w:rsidR="00130AE0" w:rsidRPr="009B7F14">
        <w:t xml:space="preserve"> and the legal framework governing the grants</w:t>
      </w:r>
      <w:r w:rsidR="00E53C90" w:rsidRPr="009B7F14">
        <w:t>.</w:t>
      </w:r>
      <w:r w:rsidR="004439F6" w:rsidRPr="009B7F14">
        <w:t xml:space="preserve"> </w:t>
      </w:r>
    </w:p>
    <w:p w14:paraId="37533CF5" w14:textId="23A3CC9E" w:rsidR="00B9272D" w:rsidRPr="009B7F14" w:rsidRDefault="00B9272D" w:rsidP="009F01EE">
      <w:pPr>
        <w:pStyle w:val="ListParagraph"/>
        <w:numPr>
          <w:ilvl w:val="0"/>
          <w:numId w:val="10"/>
        </w:numPr>
      </w:pPr>
      <w:r w:rsidRPr="009B7F14">
        <w:t>Fines, penalties and costs of litigation, except where litigation is an integral and necessary component for achieving the outcomes of the project (</w:t>
      </w:r>
      <w:r w:rsidR="00CD3B04" w:rsidRPr="009B7F14">
        <w:t xml:space="preserve">Reg. </w:t>
      </w:r>
      <w:r w:rsidRPr="009B7F14">
        <w:t xml:space="preserve">Art 8.7.2 </w:t>
      </w:r>
      <w:r w:rsidR="00BA44CE" w:rsidRPr="009B7F14">
        <w:t>(</w:t>
      </w:r>
      <w:r w:rsidRPr="009B7F14">
        <w:t>g</w:t>
      </w:r>
      <w:r w:rsidR="00BA44CE" w:rsidRPr="009B7F14">
        <w:t>)</w:t>
      </w:r>
      <w:r w:rsidR="00254720">
        <w:t>)</w:t>
      </w:r>
    </w:p>
    <w:p w14:paraId="0F56429F" w14:textId="77777777" w:rsidR="00FC33D4" w:rsidRPr="009B7F14" w:rsidRDefault="00FC33D4" w:rsidP="00376576">
      <w:pPr>
        <w:pStyle w:val="ListParagraph"/>
        <w:ind w:left="1077"/>
      </w:pPr>
      <w:r w:rsidRPr="009B7F14">
        <w:t xml:space="preserve">Any fines or penalties charged to a </w:t>
      </w:r>
      <w:r w:rsidR="003134A1" w:rsidRPr="009B7F14">
        <w:t>PP</w:t>
      </w:r>
      <w:r w:rsidRPr="009B7F14">
        <w:t xml:space="preserve"> cannot be included as</w:t>
      </w:r>
      <w:r w:rsidR="00AC1552" w:rsidRPr="009B7F14">
        <w:t xml:space="preserve"> eligible expenditures. Examples</w:t>
      </w:r>
      <w:r w:rsidRPr="009B7F14">
        <w:t xml:space="preserve">: fines imposed by public bodies due to lack of security measures on a building site, parking tickets, </w:t>
      </w:r>
      <w:r w:rsidR="00A418CA" w:rsidRPr="009B7F14">
        <w:t xml:space="preserve">work accidents which results in claims on the </w:t>
      </w:r>
      <w:r w:rsidR="003134A1" w:rsidRPr="009B7F14">
        <w:t>PP</w:t>
      </w:r>
      <w:r w:rsidR="00A418CA" w:rsidRPr="009B7F14">
        <w:t>s.</w:t>
      </w:r>
      <w:r w:rsidRPr="009B7F14">
        <w:t xml:space="preserve"> </w:t>
      </w:r>
    </w:p>
    <w:p w14:paraId="7B468967" w14:textId="7E6E85EB" w:rsidR="00A418CA" w:rsidRPr="009B7F14" w:rsidRDefault="00B9272D" w:rsidP="009F01EE">
      <w:pPr>
        <w:pStyle w:val="ListParagraph"/>
        <w:numPr>
          <w:ilvl w:val="0"/>
          <w:numId w:val="10"/>
        </w:numPr>
      </w:pPr>
      <w:r w:rsidRPr="009B7F14">
        <w:t>Excessive or reckless expenditure (</w:t>
      </w:r>
      <w:r w:rsidR="00CD3B04" w:rsidRPr="009B7F14">
        <w:t xml:space="preserve">Reg. </w:t>
      </w:r>
      <w:r w:rsidRPr="009B7F14">
        <w:t xml:space="preserve">Art 8.7.2 </w:t>
      </w:r>
      <w:r w:rsidR="00BA44CE" w:rsidRPr="009B7F14">
        <w:t>(</w:t>
      </w:r>
      <w:r w:rsidRPr="009B7F14">
        <w:t>h</w:t>
      </w:r>
      <w:r w:rsidR="00BA44CE" w:rsidRPr="009B7F14">
        <w:t>)</w:t>
      </w:r>
      <w:r w:rsidR="00254720">
        <w:t>)</w:t>
      </w:r>
    </w:p>
    <w:p w14:paraId="5C1224BC" w14:textId="5993717B" w:rsidR="00B9272D" w:rsidRPr="009B7F14" w:rsidRDefault="00B9272D" w:rsidP="00376576">
      <w:pPr>
        <w:pStyle w:val="ListParagraph"/>
        <w:ind w:left="1077"/>
      </w:pPr>
      <w:r w:rsidRPr="009B7F14">
        <w:t xml:space="preserve">This must be seen in relation to </w:t>
      </w:r>
      <w:r w:rsidR="00CD3B04" w:rsidRPr="009B7F14">
        <w:t xml:space="preserve">Reg. </w:t>
      </w:r>
      <w:r w:rsidRPr="009B7F14">
        <w:t>Art</w:t>
      </w:r>
      <w:r w:rsidR="00CD3B04" w:rsidRPr="009B7F14">
        <w:t>.</w:t>
      </w:r>
      <w:r w:rsidRPr="009B7F14">
        <w:t xml:space="preserve"> </w:t>
      </w:r>
      <w:r w:rsidR="00C364E4" w:rsidRPr="009B7F14">
        <w:t>8</w:t>
      </w:r>
      <w:r w:rsidRPr="009B7F14">
        <w:t>.2.</w:t>
      </w:r>
      <w:r w:rsidR="007C4691" w:rsidRPr="009B7F14">
        <w:t>2</w:t>
      </w:r>
      <w:r w:rsidR="005C1DEC" w:rsidRPr="009B7F14">
        <w:t xml:space="preserve"> </w:t>
      </w:r>
      <w:proofErr w:type="gramStart"/>
      <w:r w:rsidR="007C4691" w:rsidRPr="009B7F14">
        <w:t>(c)</w:t>
      </w:r>
      <w:proofErr w:type="gramEnd"/>
      <w:r w:rsidRPr="009B7F14">
        <w:t xml:space="preserve"> which state eligible expenditures must be “…. proportionate and necessary for the implementation of the project”.  </w:t>
      </w:r>
      <w:r w:rsidR="00AC1552" w:rsidRPr="009B7F14">
        <w:t xml:space="preserve">E.g.: </w:t>
      </w:r>
      <w:r w:rsidRPr="009B7F14">
        <w:t xml:space="preserve">staying at a </w:t>
      </w:r>
      <w:r w:rsidR="00C27F98">
        <w:t>five</w:t>
      </w:r>
      <w:r w:rsidRPr="009B7F14">
        <w:t xml:space="preserve"> star luxury hotel for </w:t>
      </w:r>
      <w:r w:rsidR="00C364E4" w:rsidRPr="009B7F14">
        <w:t>€</w:t>
      </w:r>
      <w:r w:rsidR="00C27F98">
        <w:t xml:space="preserve"> </w:t>
      </w:r>
      <w:r w:rsidR="00B1720D" w:rsidRPr="009B7F14">
        <w:t>1</w:t>
      </w:r>
      <w:r w:rsidR="00C27F98">
        <w:t>,</w:t>
      </w:r>
      <w:r w:rsidRPr="009B7F14">
        <w:t>000</w:t>
      </w:r>
      <w:r w:rsidR="00C364E4" w:rsidRPr="009B7F14">
        <w:t xml:space="preserve"> a night when travelling</w:t>
      </w:r>
      <w:r w:rsidRPr="009B7F14">
        <w:t xml:space="preserve"> or buying state of the art equipment where cheaper options would cover the same needs. </w:t>
      </w:r>
    </w:p>
    <w:p w14:paraId="3F1824ED" w14:textId="77777777" w:rsidR="00851093" w:rsidRPr="009B7F14" w:rsidRDefault="00EA0104" w:rsidP="00920571">
      <w:pPr>
        <w:pStyle w:val="Heading2"/>
      </w:pPr>
      <w:bookmarkStart w:id="42" w:name="_Ref462389994"/>
      <w:bookmarkStart w:id="43" w:name="_Toc484174840"/>
      <w:r w:rsidRPr="009B7F14">
        <w:t>Management and Control Systems (</w:t>
      </w:r>
      <w:r w:rsidR="00CD3B04" w:rsidRPr="009B7F14">
        <w:t xml:space="preserve">Reg. </w:t>
      </w:r>
      <w:r w:rsidRPr="009B7F14">
        <w:t xml:space="preserve">Art. </w:t>
      </w:r>
      <w:r w:rsidR="00ED03E8" w:rsidRPr="009B7F14">
        <w:t>5</w:t>
      </w:r>
      <w:r w:rsidRPr="009B7F14">
        <w:t>.1)</w:t>
      </w:r>
      <w:bookmarkEnd w:id="42"/>
      <w:bookmarkEnd w:id="43"/>
    </w:p>
    <w:p w14:paraId="1C4D6FC4" w14:textId="77777777" w:rsidR="00F377C0" w:rsidRPr="009B7F14" w:rsidRDefault="00F377C0" w:rsidP="00376576">
      <w:r w:rsidRPr="009B7F14">
        <w:t xml:space="preserve">Appropriate </w:t>
      </w:r>
      <w:r w:rsidR="00851093" w:rsidRPr="009B7F14">
        <w:t>Management and Control System</w:t>
      </w:r>
      <w:r w:rsidR="00F14288" w:rsidRPr="009B7F14">
        <w:t>s</w:t>
      </w:r>
      <w:r w:rsidR="00851093" w:rsidRPr="009B7F14">
        <w:t xml:space="preserve"> (MCS</w:t>
      </w:r>
      <w:r w:rsidR="007E4193" w:rsidRPr="009B7F14">
        <w:t>s</w:t>
      </w:r>
      <w:r w:rsidR="00851093" w:rsidRPr="009B7F14">
        <w:t xml:space="preserve">) </w:t>
      </w:r>
      <w:r w:rsidRPr="009B7F14">
        <w:t xml:space="preserve">shall be set up to ensure that the principles of the accountability, economy, efficiency and effectiveness are respected. </w:t>
      </w:r>
    </w:p>
    <w:p w14:paraId="61C5799C" w14:textId="77777777" w:rsidR="00F377C0" w:rsidRPr="009B7F14" w:rsidRDefault="00F377C0" w:rsidP="0083438A">
      <w:r w:rsidRPr="009B7F14">
        <w:t xml:space="preserve">The MCSs are to be set at </w:t>
      </w:r>
      <w:r w:rsidR="008E3D30">
        <w:t>national and programme level, described in more detail below.</w:t>
      </w:r>
    </w:p>
    <w:p w14:paraId="6FD7337B" w14:textId="77777777" w:rsidR="00851093" w:rsidRPr="008E3D30" w:rsidRDefault="00D905D8" w:rsidP="00BE6F8F">
      <w:pPr>
        <w:pStyle w:val="Heading4"/>
        <w:ind w:left="864" w:hanging="864"/>
        <w:rPr>
          <w:noProof/>
          <w:lang w:eastAsia="en-GB"/>
        </w:rPr>
      </w:pPr>
      <w:r w:rsidRPr="008E3D30">
        <w:rPr>
          <w:noProof/>
          <w:lang w:eastAsia="en-GB"/>
        </w:rPr>
        <w:t xml:space="preserve">National level MCS </w:t>
      </w:r>
    </w:p>
    <w:p w14:paraId="2DDEDF69" w14:textId="77777777" w:rsidR="00E33DC1" w:rsidRPr="009B7F14" w:rsidRDefault="00FD67FA" w:rsidP="00376576">
      <w:r w:rsidRPr="009B7F14">
        <w:t xml:space="preserve">The national authorities are to set-up the systems that will ensure </w:t>
      </w:r>
      <w:r w:rsidR="00E33DC1" w:rsidRPr="009B7F14">
        <w:t>that they are in the position to fulfil their responsibilities in line with the Regulation</w:t>
      </w:r>
      <w:r w:rsidR="0031299C" w:rsidRPr="009B7F14">
        <w:t>s</w:t>
      </w:r>
      <w:r w:rsidR="00E33DC1" w:rsidRPr="009B7F14">
        <w:t xml:space="preserve">. </w:t>
      </w:r>
    </w:p>
    <w:p w14:paraId="5A2D7E02" w14:textId="6601A92E" w:rsidR="00851093" w:rsidRDefault="00851093" w:rsidP="00376576">
      <w:r w:rsidRPr="009B7F14">
        <w:t xml:space="preserve">The NFP is responsible for submitting a MCS </w:t>
      </w:r>
      <w:r w:rsidR="00D905D8" w:rsidRPr="009B7F14">
        <w:t xml:space="preserve">description </w:t>
      </w:r>
      <w:r w:rsidRPr="009B7F14">
        <w:t xml:space="preserve">at </w:t>
      </w:r>
      <w:r w:rsidR="00D905D8" w:rsidRPr="009B7F14">
        <w:t>the</w:t>
      </w:r>
      <w:r w:rsidRPr="009B7F14">
        <w:t xml:space="preserve"> national level. </w:t>
      </w:r>
      <w:r w:rsidR="00CD5AD4" w:rsidRPr="009B7F14">
        <w:t>The MCS</w:t>
      </w:r>
      <w:r w:rsidRPr="009B7F14">
        <w:t xml:space="preserve"> shall</w:t>
      </w:r>
      <w:r w:rsidR="00BF5518" w:rsidRPr="009B7F14">
        <w:t>,</w:t>
      </w:r>
      <w:r w:rsidRPr="009B7F14">
        <w:t xml:space="preserve"> </w:t>
      </w:r>
      <w:r w:rsidR="00CD5AD4" w:rsidRPr="009B7F14">
        <w:t>among other things</w:t>
      </w:r>
      <w:r w:rsidR="00BF5518" w:rsidRPr="009B7F14">
        <w:t>,</w:t>
      </w:r>
      <w:r w:rsidR="00CD5AD4" w:rsidRPr="009B7F14">
        <w:t xml:space="preserve"> </w:t>
      </w:r>
      <w:r w:rsidRPr="009B7F14">
        <w:t xml:space="preserve">describe the organisational structure and the procedures of the </w:t>
      </w:r>
      <w:r w:rsidR="00284FB3" w:rsidRPr="009B7F14">
        <w:t>NFP</w:t>
      </w:r>
      <w:r w:rsidRPr="009B7F14">
        <w:t xml:space="preserve">, </w:t>
      </w:r>
      <w:r w:rsidR="00284FB3" w:rsidRPr="009B7F14">
        <w:t>CA</w:t>
      </w:r>
      <w:r w:rsidR="00CD5AD4" w:rsidRPr="009B7F14">
        <w:t>, AA, I</w:t>
      </w:r>
      <w:r w:rsidR="00936E7F" w:rsidRPr="009B7F14">
        <w:t xml:space="preserve">rregularities </w:t>
      </w:r>
      <w:r w:rsidR="00CD5AD4" w:rsidRPr="009B7F14">
        <w:t>A</w:t>
      </w:r>
      <w:r w:rsidR="00936E7F" w:rsidRPr="009B7F14">
        <w:t>uthority</w:t>
      </w:r>
      <w:r w:rsidRPr="009B7F14">
        <w:t xml:space="preserve"> and other </w:t>
      </w:r>
      <w:r w:rsidR="008C7B6F" w:rsidRPr="009B7F14">
        <w:t xml:space="preserve">national </w:t>
      </w:r>
      <w:r w:rsidRPr="009B7F14">
        <w:t>entities that are involved in the implementation of the EEA and Norw</w:t>
      </w:r>
      <w:r w:rsidR="00B7003D" w:rsidRPr="009B7F14">
        <w:t>egian Financial Mechanisms</w:t>
      </w:r>
      <w:r w:rsidR="00AD0CB8" w:rsidRPr="009B7F14">
        <w:t xml:space="preserve"> or carrying out audits</w:t>
      </w:r>
      <w:r w:rsidRPr="009B7F14">
        <w:t xml:space="preserve">. </w:t>
      </w:r>
    </w:p>
    <w:p w14:paraId="1E47FBC7" w14:textId="77777777" w:rsidR="00633A75" w:rsidRPr="00A00789" w:rsidRDefault="00633A75" w:rsidP="00633A75">
      <w:r>
        <w:t xml:space="preserve">MCS at the national level shall, inter alia, describe how the NFP will carry out regular monitoring of the programmes with regards to their progress towards the </w:t>
      </w:r>
      <w:r>
        <w:rPr>
          <w:szCs w:val="20"/>
        </w:rPr>
        <w:t xml:space="preserve">programme outputs, outcome(s) and objective(s) (Reg. Art. 5.3.4). </w:t>
      </w:r>
      <w:r>
        <w:t>Further information on compliance-based monitoring, risk-based monitoring and results-based monitoring can be found in the Results Guideline</w:t>
      </w:r>
      <w:r w:rsidRPr="00A00789">
        <w:t>.</w:t>
      </w:r>
    </w:p>
    <w:p w14:paraId="4A92CE18" w14:textId="77777777" w:rsidR="00CD5AD4" w:rsidRPr="009B7F14" w:rsidRDefault="00CD5AD4" w:rsidP="00376576">
      <w:r w:rsidRPr="009B7F14">
        <w:t xml:space="preserve">The national level </w:t>
      </w:r>
      <w:r w:rsidR="00851093" w:rsidRPr="009B7F14">
        <w:t xml:space="preserve">MCS </w:t>
      </w:r>
      <w:r w:rsidRPr="009B7F14">
        <w:t xml:space="preserve">shall be submitted to the </w:t>
      </w:r>
      <w:r w:rsidR="00585D64" w:rsidRPr="009B7F14">
        <w:t>FMO</w:t>
      </w:r>
      <w:r w:rsidRPr="009B7F14">
        <w:t xml:space="preserve"> within six months of the date of the last signature of the MoU </w:t>
      </w:r>
      <w:r w:rsidR="00CD3B04" w:rsidRPr="009B7F14">
        <w:t xml:space="preserve">(Reg. </w:t>
      </w:r>
      <w:r w:rsidRPr="009B7F14">
        <w:t>Art</w:t>
      </w:r>
      <w:r w:rsidR="00CD3B04" w:rsidRPr="009B7F14">
        <w:t>.</w:t>
      </w:r>
      <w:r w:rsidRPr="009B7F14">
        <w:t xml:space="preserve"> 5.7.1</w:t>
      </w:r>
      <w:r w:rsidR="00CD3B04" w:rsidRPr="009B7F14">
        <w:t>)</w:t>
      </w:r>
      <w:r w:rsidRPr="009B7F14">
        <w:t xml:space="preserve">. </w:t>
      </w:r>
    </w:p>
    <w:p w14:paraId="7CF94F86" w14:textId="5F09B931" w:rsidR="00851093" w:rsidRPr="009B7F14" w:rsidRDefault="00851093" w:rsidP="00376576">
      <w:r w:rsidRPr="009B7F14">
        <w:t xml:space="preserve">The </w:t>
      </w:r>
      <w:r w:rsidR="00585D64" w:rsidRPr="009B7F14">
        <w:t>FMO</w:t>
      </w:r>
      <w:r w:rsidRPr="009B7F14">
        <w:t xml:space="preserve"> will then determine whether the description of the MCS meets the minimum requirements, before disbursing the first payment to any programme</w:t>
      </w:r>
      <w:r w:rsidR="00CD5AD4" w:rsidRPr="009B7F14">
        <w:t xml:space="preserve">, </w:t>
      </w:r>
      <w:r w:rsidR="00B310B7">
        <w:t>TA</w:t>
      </w:r>
      <w:r w:rsidR="00CD5AD4" w:rsidRPr="009B7F14">
        <w:t xml:space="preserve"> </w:t>
      </w:r>
      <w:r w:rsidR="00B7003D" w:rsidRPr="009B7F14">
        <w:t>or the</w:t>
      </w:r>
      <w:r w:rsidR="00CD5AD4" w:rsidRPr="009B7F14">
        <w:t xml:space="preserve"> </w:t>
      </w:r>
      <w:r w:rsidR="00AD0CB8" w:rsidRPr="009B7F14">
        <w:t xml:space="preserve">fund for </w:t>
      </w:r>
      <w:r w:rsidR="0031299C" w:rsidRPr="009B7F14">
        <w:t>bilateral relations</w:t>
      </w:r>
      <w:r w:rsidR="00AC1552" w:rsidRPr="009B7F14">
        <w:t>. This does not apply to</w:t>
      </w:r>
      <w:r w:rsidRPr="009B7F14">
        <w:t xml:space="preserve"> extraordinary advance payments related to preparation costs for programmes </w:t>
      </w:r>
      <w:r w:rsidR="0029523E" w:rsidRPr="009B7F14">
        <w:t xml:space="preserve">made in accordance with </w:t>
      </w:r>
      <w:r w:rsidR="00585D64" w:rsidRPr="009B7F14">
        <w:t>Reg. Art. 8.10.8</w:t>
      </w:r>
      <w:r w:rsidR="00CD5AD4" w:rsidRPr="009B7F14">
        <w:t xml:space="preserve">, nor to </w:t>
      </w:r>
      <w:r w:rsidR="00B7003D" w:rsidRPr="009B7F14">
        <w:t>payments</w:t>
      </w:r>
      <w:r w:rsidR="00CD5AD4" w:rsidRPr="009B7F14">
        <w:t xml:space="preserve"> related to the bilateral funds</w:t>
      </w:r>
      <w:r w:rsidR="00B7003D" w:rsidRPr="009B7F14">
        <w:t xml:space="preserve"> </w:t>
      </w:r>
      <w:r w:rsidR="000B1B75" w:rsidRPr="009B7F14">
        <w:t xml:space="preserve">made </w:t>
      </w:r>
      <w:r w:rsidR="00B7003D" w:rsidRPr="009B7F14">
        <w:t>in accordance with</w:t>
      </w:r>
      <w:r w:rsidR="000B1B75" w:rsidRPr="009B7F14">
        <w:t xml:space="preserve"> </w:t>
      </w:r>
      <w:r w:rsidR="00585D64" w:rsidRPr="009B7F14">
        <w:t>Reg. Art. 4.6.4</w:t>
      </w:r>
      <w:r w:rsidRPr="009B7F14">
        <w:t xml:space="preserve">. </w:t>
      </w:r>
    </w:p>
    <w:p w14:paraId="036CBB99" w14:textId="77777777" w:rsidR="00851093" w:rsidRPr="009B7F14" w:rsidRDefault="00851093" w:rsidP="00376576">
      <w:r w:rsidRPr="009B7F14">
        <w:t xml:space="preserve">All information concerning the MCS shall be submitted electronically in accordance with </w:t>
      </w:r>
      <w:r w:rsidR="000660FF" w:rsidRPr="009B7F14">
        <w:t>Reg. Art.</w:t>
      </w:r>
      <w:r w:rsidRPr="009B7F14">
        <w:t xml:space="preserve"> </w:t>
      </w:r>
      <w:r w:rsidR="00580250" w:rsidRPr="009B7F14">
        <w:t>5</w:t>
      </w:r>
      <w:r w:rsidRPr="009B7F14">
        <w:t>.1.3.</w:t>
      </w:r>
    </w:p>
    <w:p w14:paraId="7D65900E" w14:textId="77777777" w:rsidR="00851093" w:rsidRPr="008E3D30" w:rsidRDefault="00851093" w:rsidP="00BE6F8F">
      <w:pPr>
        <w:pStyle w:val="Heading4"/>
        <w:ind w:left="864" w:hanging="864"/>
        <w:rPr>
          <w:noProof/>
          <w:lang w:eastAsia="en-GB"/>
        </w:rPr>
      </w:pPr>
      <w:r w:rsidRPr="008E3D30">
        <w:rPr>
          <w:noProof/>
          <w:lang w:eastAsia="en-GB"/>
        </w:rPr>
        <w:t>P</w:t>
      </w:r>
      <w:r w:rsidR="00D905D8" w:rsidRPr="008E3D30">
        <w:rPr>
          <w:noProof/>
          <w:lang w:eastAsia="en-GB"/>
        </w:rPr>
        <w:t>rogramme level MCS</w:t>
      </w:r>
    </w:p>
    <w:p w14:paraId="3C54611F" w14:textId="77777777" w:rsidR="00F377C0" w:rsidRPr="009B7F14" w:rsidRDefault="00851093" w:rsidP="00376576">
      <w:r w:rsidRPr="009B7F14">
        <w:t xml:space="preserve">The PO </w:t>
      </w:r>
      <w:r w:rsidR="00F377C0" w:rsidRPr="009B7F14">
        <w:t>shall set up the MCS that will ensure that the PO is in the position to fulfil its responsibilities in line with the Regulations.</w:t>
      </w:r>
    </w:p>
    <w:p w14:paraId="0C1EBBCE" w14:textId="77777777" w:rsidR="00786D68" w:rsidRDefault="00851093" w:rsidP="00376576">
      <w:r w:rsidRPr="009B7F14">
        <w:t xml:space="preserve">The MCS shall describe </w:t>
      </w:r>
      <w:r w:rsidR="0031299C" w:rsidRPr="009B7F14">
        <w:t>t</w:t>
      </w:r>
      <w:r w:rsidRPr="009B7F14">
        <w:t xml:space="preserve">he system </w:t>
      </w:r>
      <w:r w:rsidR="0031299C" w:rsidRPr="009B7F14">
        <w:t>to be used</w:t>
      </w:r>
      <w:r w:rsidRPr="009B7F14">
        <w:t xml:space="preserve"> for verification of expenditure, audit and monitoring of the projects. </w:t>
      </w:r>
      <w:r w:rsidR="00633A75">
        <w:t>Further information on compliance-based monitoring, risk-based monitoring and results-based monitoring can be found in the Results Guideline.</w:t>
      </w:r>
    </w:p>
    <w:p w14:paraId="121783A3" w14:textId="77777777" w:rsidR="00E33DC1" w:rsidRPr="009B7F14" w:rsidRDefault="00851093" w:rsidP="00376576">
      <w:r w:rsidRPr="009B7F14">
        <w:t>It shall also describe</w:t>
      </w:r>
      <w:r w:rsidR="0031299C" w:rsidRPr="009B7F14">
        <w:t xml:space="preserve"> how the PO will monitor the PP</w:t>
      </w:r>
      <w:r w:rsidR="00786D68">
        <w:t xml:space="preserve"> and with what frequency</w:t>
      </w:r>
      <w:r w:rsidR="00786D68" w:rsidRPr="00A00789">
        <w:t xml:space="preserve">, </w:t>
      </w:r>
      <w:r w:rsidR="00786D68">
        <w:t>where and how the monitoring information (including results-based monitoring) will be stored and organised,</w:t>
      </w:r>
      <w:r w:rsidR="0031299C" w:rsidRPr="009B7F14">
        <w:t xml:space="preserve"> the system to be used</w:t>
      </w:r>
      <w:r w:rsidRPr="009B7F14">
        <w:t xml:space="preserve"> to </w:t>
      </w:r>
      <w:r w:rsidR="000B1B75" w:rsidRPr="009B7F14">
        <w:t>prevent and handle</w:t>
      </w:r>
      <w:r w:rsidRPr="009B7F14">
        <w:t xml:space="preserve"> irregularities and establish an audit trail.</w:t>
      </w:r>
      <w:r w:rsidR="0031299C" w:rsidRPr="009B7F14">
        <w:t xml:space="preserve"> </w:t>
      </w:r>
    </w:p>
    <w:p w14:paraId="2B21C7BA" w14:textId="77777777" w:rsidR="00F377C0" w:rsidRPr="009B7F14" w:rsidRDefault="00F377C0" w:rsidP="00376576">
      <w:r w:rsidRPr="009B7F14">
        <w:t>The MCS shall be submitted</w:t>
      </w:r>
      <w:r w:rsidR="0005476F" w:rsidRPr="009B7F14">
        <w:t xml:space="preserve"> to the NFP</w:t>
      </w:r>
      <w:r w:rsidRPr="009B7F14">
        <w:t xml:space="preserve"> for each specific programme with the description of the organisational structure and procedures. The PO shall submit within six months from the approval of the programme by the </w:t>
      </w:r>
      <w:r w:rsidR="00585D64" w:rsidRPr="009B7F14">
        <w:t>FMO</w:t>
      </w:r>
      <w:r w:rsidRPr="009B7F14">
        <w:t xml:space="preserve"> to the NFP a detailed description of the Management and Control Systems </w:t>
      </w:r>
      <w:r w:rsidR="00CD3B04" w:rsidRPr="009B7F14">
        <w:t xml:space="preserve">(Reg. </w:t>
      </w:r>
      <w:r w:rsidRPr="009B7F14">
        <w:t>Art</w:t>
      </w:r>
      <w:r w:rsidR="00CD3B04" w:rsidRPr="009B7F14">
        <w:t>.</w:t>
      </w:r>
      <w:r w:rsidRPr="009B7F14">
        <w:t xml:space="preserve"> 5.7.2</w:t>
      </w:r>
      <w:r w:rsidR="00CD3B04" w:rsidRPr="009B7F14">
        <w:t>)</w:t>
      </w:r>
      <w:r w:rsidRPr="009B7F14">
        <w:t xml:space="preserve">. </w:t>
      </w:r>
    </w:p>
    <w:p w14:paraId="49F7F74C" w14:textId="0C44A882" w:rsidR="00D3037A" w:rsidRPr="009B7F14" w:rsidRDefault="00D3037A" w:rsidP="00376576">
      <w:r w:rsidRPr="009B7F14">
        <w:t xml:space="preserve">The </w:t>
      </w:r>
      <w:r w:rsidR="00F377C0" w:rsidRPr="009B7F14">
        <w:t xml:space="preserve">NFP needs to approve the </w:t>
      </w:r>
      <w:r w:rsidRPr="009B7F14">
        <w:t>MCS</w:t>
      </w:r>
      <w:r w:rsidR="00F377C0" w:rsidRPr="009B7F14">
        <w:t xml:space="preserve"> and </w:t>
      </w:r>
      <w:r w:rsidRPr="009B7F14">
        <w:t xml:space="preserve">inform the </w:t>
      </w:r>
      <w:r w:rsidR="00585D64" w:rsidRPr="009B7F14">
        <w:t>FMO</w:t>
      </w:r>
      <w:r w:rsidRPr="009B7F14">
        <w:t xml:space="preserve"> of the approval of the </w:t>
      </w:r>
      <w:r w:rsidR="000B1B75" w:rsidRPr="009B7F14">
        <w:t>MCS</w:t>
      </w:r>
      <w:r w:rsidRPr="009B7F14">
        <w:t xml:space="preserve"> within three months of its submission to the NFP. The FMC should be notified if the MCS has severe deficiencies that the PO cannot correct within a reasonable time frame. </w:t>
      </w:r>
    </w:p>
    <w:p w14:paraId="48D6F873" w14:textId="77777777" w:rsidR="00D3037A" w:rsidRPr="009B7F14" w:rsidRDefault="00D3037A" w:rsidP="00376576">
      <w:r w:rsidRPr="009B7F14">
        <w:t xml:space="preserve">The NFP shall, upon request, submit to the </w:t>
      </w:r>
      <w:r w:rsidR="00585D64" w:rsidRPr="009B7F14">
        <w:t>FMO</w:t>
      </w:r>
      <w:r w:rsidRPr="009B7F14">
        <w:t xml:space="preserve"> the MCS for the PO in English, accompanied by the </w:t>
      </w:r>
      <w:r w:rsidR="00CE2884" w:rsidRPr="009B7F14">
        <w:t>AA</w:t>
      </w:r>
      <w:r w:rsidRPr="009B7F14">
        <w:t xml:space="preserve">’s Opinion and </w:t>
      </w:r>
      <w:r w:rsidR="00F377C0" w:rsidRPr="009B7F14">
        <w:t>Audit</w:t>
      </w:r>
      <w:r w:rsidRPr="009B7F14">
        <w:t xml:space="preserve"> Report. The documents shall be submitted within one moth of the request. The </w:t>
      </w:r>
      <w:r w:rsidR="00585D64" w:rsidRPr="009B7F14">
        <w:t>FMO</w:t>
      </w:r>
      <w:r w:rsidRPr="009B7F14">
        <w:t xml:space="preserve"> may then provide comments (</w:t>
      </w:r>
      <w:r w:rsidR="00CD3B04" w:rsidRPr="009B7F14">
        <w:t xml:space="preserve">Reg. </w:t>
      </w:r>
      <w:r w:rsidRPr="009B7F14">
        <w:t>Art</w:t>
      </w:r>
      <w:r w:rsidR="00CD3B04" w:rsidRPr="009B7F14">
        <w:t>.</w:t>
      </w:r>
      <w:r w:rsidRPr="009B7F14">
        <w:t xml:space="preserve"> 4.7.4). </w:t>
      </w:r>
    </w:p>
    <w:p w14:paraId="7A062572" w14:textId="77777777" w:rsidR="00851093" w:rsidRPr="009B7F14" w:rsidRDefault="00B05A17" w:rsidP="00920571">
      <w:pPr>
        <w:pStyle w:val="Heading3"/>
      </w:pPr>
      <w:r w:rsidRPr="009B7F14">
        <w:t xml:space="preserve">The outline of the </w:t>
      </w:r>
      <w:r w:rsidR="00851093" w:rsidRPr="009B7F14">
        <w:t>Management and Control Systems</w:t>
      </w:r>
      <w:r w:rsidRPr="009B7F14">
        <w:t xml:space="preserve"> </w:t>
      </w:r>
    </w:p>
    <w:p w14:paraId="58D7862A" w14:textId="7E8F8D9B" w:rsidR="00851093" w:rsidRPr="009B7F14" w:rsidRDefault="00851093" w:rsidP="00376576">
      <w:r w:rsidRPr="009B7F14">
        <w:t>The MCS shall reflect the Regulation</w:t>
      </w:r>
      <w:r w:rsidR="00652CEF" w:rsidRPr="009B7F14">
        <w:t>s</w:t>
      </w:r>
      <w:r w:rsidRPr="009B7F14">
        <w:t xml:space="preserve"> and the P</w:t>
      </w:r>
      <w:r w:rsidR="00AF054F">
        <w:t>A</w:t>
      </w:r>
      <w:r w:rsidRPr="009B7F14">
        <w:t xml:space="preserve">. The description shall be short, but detailed enough to cover all the relevant aspects. It is important that the </w:t>
      </w:r>
      <w:r w:rsidR="00652CEF" w:rsidRPr="009B7F14">
        <w:t>description</w:t>
      </w:r>
      <w:r w:rsidRPr="009B7F14">
        <w:t xml:space="preserve"> is self-expla</w:t>
      </w:r>
      <w:r w:rsidR="00786D68">
        <w:t>natory</w:t>
      </w:r>
      <w:r w:rsidRPr="009B7F14">
        <w:t>. This means that all references to other documents</w:t>
      </w:r>
      <w:r w:rsidR="0031299C" w:rsidRPr="009B7F14">
        <w:t>, rules</w:t>
      </w:r>
      <w:r w:rsidRPr="009B7F14">
        <w:t xml:space="preserve"> or regulations must be explained properly</w:t>
      </w:r>
      <w:r w:rsidR="0031299C" w:rsidRPr="009B7F14">
        <w:t xml:space="preserve"> in the MCS</w:t>
      </w:r>
      <w:r w:rsidRPr="009B7F14">
        <w:t xml:space="preserve">. </w:t>
      </w:r>
      <w:r w:rsidR="00A20EF6" w:rsidRPr="009B7F14">
        <w:t xml:space="preserve"> </w:t>
      </w:r>
    </w:p>
    <w:p w14:paraId="5F42EDEB" w14:textId="77777777" w:rsidR="00A20EF6" w:rsidRPr="008E3D30" w:rsidRDefault="00A20EF6" w:rsidP="00B033FD">
      <w:pPr>
        <w:pStyle w:val="Heading4"/>
        <w:rPr>
          <w:noProof/>
          <w:lang w:eastAsia="en-GB"/>
        </w:rPr>
      </w:pPr>
      <w:r w:rsidRPr="008E3D30">
        <w:rPr>
          <w:noProof/>
          <w:lang w:eastAsia="en-GB"/>
        </w:rPr>
        <w:t>National level MCS</w:t>
      </w:r>
    </w:p>
    <w:p w14:paraId="25AE4975" w14:textId="77777777" w:rsidR="00A20EF6" w:rsidRPr="009B7F14" w:rsidRDefault="00A20EF6" w:rsidP="00376576">
      <w:r w:rsidRPr="009B7F14">
        <w:t>The MCS shall, as minimum, describe the following sections</w:t>
      </w:r>
      <w:r w:rsidR="0043368B">
        <w:t xml:space="preserve"> (Reg. Ch. 5)</w:t>
      </w:r>
      <w:r w:rsidRPr="009B7F14">
        <w:t>:</w:t>
      </w:r>
    </w:p>
    <w:p w14:paraId="2A44D55D" w14:textId="77777777" w:rsidR="00A20EF6" w:rsidRPr="009B7F14" w:rsidRDefault="00A20EF6" w:rsidP="009F01EE">
      <w:pPr>
        <w:pStyle w:val="ListParagraph"/>
        <w:numPr>
          <w:ilvl w:val="0"/>
          <w:numId w:val="2"/>
        </w:numPr>
      </w:pPr>
      <w:r w:rsidRPr="009B7F14">
        <w:t>Organisational structure, definitions and the allocation of functions within each entity</w:t>
      </w:r>
    </w:p>
    <w:p w14:paraId="2DBA0BAE" w14:textId="77777777" w:rsidR="00A20EF6" w:rsidRPr="009B7F14" w:rsidRDefault="00A20EF6" w:rsidP="0057571D">
      <w:pPr>
        <w:pStyle w:val="ListParagraph"/>
        <w:ind w:left="1080"/>
      </w:pPr>
      <w:r w:rsidRPr="009B7F14">
        <w:t xml:space="preserve">The MCS shall describe the functions of each entity following the principle of separation of tasks. </w:t>
      </w:r>
      <w:r w:rsidR="00087907" w:rsidRPr="009B7F14">
        <w:t xml:space="preserve">If any tasks are delegated </w:t>
      </w:r>
      <w:r w:rsidR="0048443C" w:rsidRPr="009B7F14">
        <w:t>this shall be described in the MCS.</w:t>
      </w:r>
    </w:p>
    <w:p w14:paraId="555EE335" w14:textId="6A7511E9" w:rsidR="0091560D" w:rsidRPr="009B7F14" w:rsidRDefault="0091560D" w:rsidP="0057571D">
      <w:pPr>
        <w:pStyle w:val="ListParagraph"/>
        <w:spacing w:after="0"/>
        <w:ind w:left="1080"/>
        <w:contextualSpacing w:val="0"/>
      </w:pPr>
      <w:r w:rsidRPr="009B7F14">
        <w:t>The MCS shall describe the payment flows within the country, e.g. from the CA to the PO.</w:t>
      </w:r>
    </w:p>
    <w:p w14:paraId="343F4FA8" w14:textId="77777777" w:rsidR="00A37B2D" w:rsidRPr="009B7F14" w:rsidRDefault="00A37B2D" w:rsidP="009F01EE">
      <w:pPr>
        <w:pStyle w:val="ListParagraph"/>
        <w:numPr>
          <w:ilvl w:val="0"/>
          <w:numId w:val="2"/>
        </w:numPr>
        <w:spacing w:after="0"/>
      </w:pPr>
      <w:r w:rsidRPr="009B7F14">
        <w:t xml:space="preserve">The procedures for verification of </w:t>
      </w:r>
      <w:r w:rsidR="00820221" w:rsidRPr="009B7F14">
        <w:t>expenditure</w:t>
      </w:r>
    </w:p>
    <w:p w14:paraId="7BDFACFB" w14:textId="77777777" w:rsidR="00820221" w:rsidRPr="009B7F14" w:rsidRDefault="00820221" w:rsidP="00376576">
      <w:pPr>
        <w:pStyle w:val="ListParagraph"/>
        <w:ind w:left="1080"/>
      </w:pPr>
      <w:r w:rsidRPr="009B7F14">
        <w:t>The MCS shall describe the procedures and checks performed by the CA to verify the expenditure declared by the PO. The procedures need to ensure that the expenditure declared is correct and regular. More details on the verificatio</w:t>
      </w:r>
      <w:r w:rsidR="00403653" w:rsidRPr="009B7F14">
        <w:t xml:space="preserve">n by the CA can be found in </w:t>
      </w:r>
      <w:r w:rsidRPr="009B7F14">
        <w:t>section</w:t>
      </w:r>
      <w:r w:rsidR="00BE1000" w:rsidRPr="009B7F14">
        <w:t xml:space="preserve"> </w:t>
      </w:r>
      <w:r w:rsidR="00403653" w:rsidRPr="009B7F14">
        <w:fldChar w:fldCharType="begin"/>
      </w:r>
      <w:r w:rsidR="00403653" w:rsidRPr="009B7F14">
        <w:instrText xml:space="preserve"> REF _Ref461629932 \r \h </w:instrText>
      </w:r>
      <w:r w:rsidR="009B7F14">
        <w:instrText xml:space="preserve"> \* MERGEFORMAT </w:instrText>
      </w:r>
      <w:r w:rsidR="00403653" w:rsidRPr="009B7F14">
        <w:fldChar w:fldCharType="separate"/>
      </w:r>
      <w:r w:rsidR="00215E29">
        <w:t>3.2</w:t>
      </w:r>
      <w:r w:rsidR="00403653" w:rsidRPr="009B7F14">
        <w:fldChar w:fldCharType="end"/>
      </w:r>
      <w:r w:rsidR="00403653" w:rsidRPr="009B7F14">
        <w:t>.</w:t>
      </w:r>
    </w:p>
    <w:p w14:paraId="4EFC07ED" w14:textId="77777777" w:rsidR="00A20EF6" w:rsidRPr="009B7F14" w:rsidRDefault="00A20EF6" w:rsidP="009F01EE">
      <w:pPr>
        <w:pStyle w:val="ListParagraph"/>
        <w:numPr>
          <w:ilvl w:val="0"/>
          <w:numId w:val="2"/>
        </w:numPr>
      </w:pPr>
      <w:r w:rsidRPr="009B7F14">
        <w:t>System</w:t>
      </w:r>
      <w:r w:rsidR="003253A6" w:rsidRPr="009B7F14">
        <w:t>s</w:t>
      </w:r>
      <w:r w:rsidRPr="009B7F14">
        <w:t xml:space="preserve"> for monitoring and reporting</w:t>
      </w:r>
    </w:p>
    <w:p w14:paraId="35C8FAEC" w14:textId="77777777" w:rsidR="00087907" w:rsidRPr="009B7F14" w:rsidRDefault="00820221" w:rsidP="00376576">
      <w:pPr>
        <w:pStyle w:val="ListParagraph"/>
        <w:ind w:left="1080"/>
      </w:pPr>
      <w:r w:rsidRPr="009B7F14">
        <w:t xml:space="preserve">The MCS shall describe how the monitoring of the programmes shall be carried out and how the </w:t>
      </w:r>
      <w:r w:rsidR="00786D68">
        <w:t xml:space="preserve">findings of the </w:t>
      </w:r>
      <w:r w:rsidRPr="009B7F14">
        <w:t xml:space="preserve">monitoring will be reported. </w:t>
      </w:r>
      <w:r w:rsidR="00786D68">
        <w:t xml:space="preserve">For more information on monitoring, please consult the Results Guideline. </w:t>
      </w:r>
    </w:p>
    <w:p w14:paraId="7A4EF1D1" w14:textId="77777777" w:rsidR="00A20EF6" w:rsidRPr="009B7F14" w:rsidRDefault="00087907" w:rsidP="009F01EE">
      <w:pPr>
        <w:pStyle w:val="ListParagraph"/>
        <w:numPr>
          <w:ilvl w:val="0"/>
          <w:numId w:val="2"/>
        </w:numPr>
      </w:pPr>
      <w:r w:rsidRPr="009B7F14">
        <w:t xml:space="preserve">Arrangements for auditing </w:t>
      </w:r>
      <w:r w:rsidR="0048443C" w:rsidRPr="009B7F14">
        <w:t>and reporting on audits</w:t>
      </w:r>
    </w:p>
    <w:p w14:paraId="419FE712" w14:textId="77777777" w:rsidR="00A20EF6" w:rsidRPr="009B7F14" w:rsidRDefault="00087907" w:rsidP="00376576">
      <w:pPr>
        <w:pStyle w:val="ListParagraph"/>
        <w:ind w:left="1080"/>
      </w:pPr>
      <w:r w:rsidRPr="009B7F14">
        <w:t>The MCS shall des</w:t>
      </w:r>
      <w:r w:rsidR="00EA3C7E" w:rsidRPr="009B7F14">
        <w:t xml:space="preserve">cribe procedures for conducting </w:t>
      </w:r>
      <w:r w:rsidRPr="009B7F14">
        <w:t>audits</w:t>
      </w:r>
      <w:r w:rsidR="00EA3C7E" w:rsidRPr="009B7F14">
        <w:t xml:space="preserve"> (</w:t>
      </w:r>
      <w:r w:rsidR="0080437A" w:rsidRPr="009B7F14">
        <w:t>Reg. Art 5.5</w:t>
      </w:r>
      <w:r w:rsidR="00EA3C7E" w:rsidRPr="009B7F14">
        <w:t>.) and shall</w:t>
      </w:r>
      <w:r w:rsidRPr="009B7F14">
        <w:t xml:space="preserve"> describe the procedures for annual audit reports and audit strategy.</w:t>
      </w:r>
    </w:p>
    <w:p w14:paraId="2E707907" w14:textId="3ACB4C88" w:rsidR="00A20EF6" w:rsidRPr="009B7F14" w:rsidRDefault="00A20EF6" w:rsidP="009F01EE">
      <w:pPr>
        <w:pStyle w:val="ListParagraph"/>
        <w:numPr>
          <w:ilvl w:val="0"/>
          <w:numId w:val="2"/>
        </w:numPr>
        <w:spacing w:after="0"/>
        <w:contextualSpacing w:val="0"/>
      </w:pPr>
      <w:r w:rsidRPr="009B7F14">
        <w:t xml:space="preserve">The system for preventing, mitigating, detecting, reporting </w:t>
      </w:r>
      <w:r w:rsidR="00254720">
        <w:t>on and remedying irregularities</w:t>
      </w:r>
    </w:p>
    <w:p w14:paraId="2BDFD311" w14:textId="77777777" w:rsidR="0091560D" w:rsidRPr="009B7F14" w:rsidRDefault="00A20EF6" w:rsidP="0057571D">
      <w:pPr>
        <w:pStyle w:val="ListParagraph"/>
        <w:ind w:left="1080"/>
      </w:pPr>
      <w:r w:rsidRPr="009B7F14">
        <w:t xml:space="preserve">The MCS should explain in detail the preventive and mitigating measures, </w:t>
      </w:r>
      <w:r w:rsidR="00B27213" w:rsidRPr="009B7F14">
        <w:t>how irregularities are detected and</w:t>
      </w:r>
      <w:r w:rsidRPr="009B7F14">
        <w:t xml:space="preserve"> reported</w:t>
      </w:r>
      <w:r w:rsidR="00B27213" w:rsidRPr="009B7F14">
        <w:t xml:space="preserve">, and </w:t>
      </w:r>
      <w:r w:rsidRPr="009B7F14">
        <w:t xml:space="preserve">how the irregularities are planned to be remedied.  </w:t>
      </w:r>
    </w:p>
    <w:p w14:paraId="44B0FEA1" w14:textId="77777777" w:rsidR="0091560D" w:rsidRPr="009B7F14" w:rsidRDefault="0091560D" w:rsidP="0057571D">
      <w:pPr>
        <w:pStyle w:val="ListParagraph"/>
        <w:ind w:left="1080"/>
      </w:pPr>
      <w:r w:rsidRPr="009B7F14">
        <w:t>The MCS shall describe the complaint mechanism.</w:t>
      </w:r>
    </w:p>
    <w:p w14:paraId="55253CF4" w14:textId="77777777" w:rsidR="003253A6" w:rsidRPr="009B7F14" w:rsidRDefault="003253A6" w:rsidP="009F01EE">
      <w:pPr>
        <w:pStyle w:val="ListParagraph"/>
        <w:numPr>
          <w:ilvl w:val="0"/>
          <w:numId w:val="2"/>
        </w:numPr>
        <w:spacing w:after="0"/>
      </w:pPr>
      <w:r w:rsidRPr="009B7F14">
        <w:t>Set up of the fund for the bilateral relations</w:t>
      </w:r>
    </w:p>
    <w:p w14:paraId="10A04E03" w14:textId="77777777" w:rsidR="00A20EF6" w:rsidRPr="009B7F14" w:rsidRDefault="00E25F4F" w:rsidP="00376576">
      <w:pPr>
        <w:pStyle w:val="ListParagraph"/>
        <w:ind w:left="1080"/>
        <w:rPr>
          <w:b/>
        </w:rPr>
      </w:pPr>
      <w:r>
        <w:t>The MCS</w:t>
      </w:r>
      <w:r w:rsidR="003253A6" w:rsidRPr="009B7F14">
        <w:t xml:space="preserve"> shall describe the detailed procedures for the financial management</w:t>
      </w:r>
      <w:r w:rsidR="00593B3A" w:rsidRPr="009B7F14">
        <w:t xml:space="preserve"> of the bilateral fund</w:t>
      </w:r>
      <w:r w:rsidR="003253A6" w:rsidRPr="009B7F14">
        <w:t xml:space="preserve"> including payment flows, verificat</w:t>
      </w:r>
      <w:r w:rsidR="003501F4" w:rsidRPr="009B7F14">
        <w:t>ion and certification processes.</w:t>
      </w:r>
    </w:p>
    <w:p w14:paraId="70DD75BF" w14:textId="77777777" w:rsidR="00A20EF6" w:rsidRPr="008E3D30" w:rsidRDefault="00A20EF6" w:rsidP="00921857">
      <w:pPr>
        <w:pStyle w:val="Heading4"/>
        <w:keepNext/>
        <w:keepLines/>
        <w:rPr>
          <w:noProof/>
          <w:lang w:eastAsia="en-GB"/>
        </w:rPr>
      </w:pPr>
      <w:r w:rsidRPr="008E3D30">
        <w:rPr>
          <w:noProof/>
          <w:lang w:eastAsia="en-GB"/>
        </w:rPr>
        <w:t>Programme level MCS</w:t>
      </w:r>
    </w:p>
    <w:p w14:paraId="7AFB041D" w14:textId="77777777" w:rsidR="00851093" w:rsidRPr="009B7F14" w:rsidRDefault="00851093" w:rsidP="00921857">
      <w:pPr>
        <w:keepNext/>
        <w:keepLines/>
      </w:pPr>
      <w:r w:rsidRPr="009B7F14">
        <w:t>In general, the MCS shall, as a minimum, describe the following sections</w:t>
      </w:r>
      <w:r w:rsidR="00B05A17" w:rsidRPr="009B7F14">
        <w:t xml:space="preserve"> in line with </w:t>
      </w:r>
      <w:r w:rsidRPr="009B7F14">
        <w:t>the Regulation</w:t>
      </w:r>
      <w:r w:rsidR="00F377C0" w:rsidRPr="009B7F14">
        <w:t>s</w:t>
      </w:r>
      <w:r w:rsidRPr="009B7F14">
        <w:t xml:space="preserve">: </w:t>
      </w:r>
    </w:p>
    <w:p w14:paraId="0AD9C3C0" w14:textId="77777777" w:rsidR="00851093" w:rsidRPr="009B7F14" w:rsidRDefault="00B05A17" w:rsidP="00921857">
      <w:pPr>
        <w:pStyle w:val="ListParagraph"/>
        <w:keepNext/>
        <w:keepLines/>
        <w:numPr>
          <w:ilvl w:val="0"/>
          <w:numId w:val="3"/>
        </w:numPr>
      </w:pPr>
      <w:r w:rsidRPr="009B7F14">
        <w:t>O</w:t>
      </w:r>
      <w:r w:rsidR="00851093" w:rsidRPr="009B7F14">
        <w:t>rganisational structure</w:t>
      </w:r>
      <w:r w:rsidRPr="009B7F14">
        <w:t>, definitions</w:t>
      </w:r>
      <w:r w:rsidR="00851093" w:rsidRPr="009B7F14">
        <w:t xml:space="preserve"> and the allocation of functions within each entity </w:t>
      </w:r>
    </w:p>
    <w:p w14:paraId="5F374FED" w14:textId="77777777" w:rsidR="00820221" w:rsidRPr="009B7F14" w:rsidRDefault="00851093" w:rsidP="00FD72EC">
      <w:pPr>
        <w:pStyle w:val="ListParagraph"/>
        <w:keepNext/>
        <w:keepLines/>
        <w:spacing w:after="0"/>
        <w:ind w:left="1077"/>
        <w:contextualSpacing w:val="0"/>
      </w:pPr>
      <w:r w:rsidRPr="009B7F14">
        <w:t xml:space="preserve">The organisational structure should be properly described. It is important that the division responsible for verification of </w:t>
      </w:r>
      <w:r w:rsidR="003E0A42" w:rsidRPr="009B7F14">
        <w:rPr>
          <w:rFonts w:eastAsia="Times New Roman" w:cs="Times New Roman"/>
        </w:rPr>
        <w:t>financial reports/expenditures incurred</w:t>
      </w:r>
      <w:r w:rsidRPr="009B7F14">
        <w:t xml:space="preserve"> is separated from </w:t>
      </w:r>
      <w:r w:rsidR="00593B3A" w:rsidRPr="009B7F14">
        <w:t xml:space="preserve">the </w:t>
      </w:r>
      <w:r w:rsidRPr="009B7F14">
        <w:t>divisions</w:t>
      </w:r>
      <w:r w:rsidR="00593B3A" w:rsidRPr="009B7F14">
        <w:t xml:space="preserve"> responsible from the implementation of the programme</w:t>
      </w:r>
      <w:r w:rsidRPr="009B7F14">
        <w:t xml:space="preserve">. This is to ensure the independence of the project and to be in compliance with the principle of separation of functions. More details on the segregation of duties can be found in the section </w:t>
      </w:r>
      <w:r w:rsidR="00D30B85" w:rsidRPr="009B7F14">
        <w:fldChar w:fldCharType="begin"/>
      </w:r>
      <w:r w:rsidR="00D30B85" w:rsidRPr="009B7F14">
        <w:instrText xml:space="preserve"> REF _Ref461527835 \r \h </w:instrText>
      </w:r>
      <w:r w:rsidR="009B7F14">
        <w:instrText xml:space="preserve"> \* MERGEFORMAT </w:instrText>
      </w:r>
      <w:r w:rsidR="00D30B85" w:rsidRPr="009B7F14">
        <w:fldChar w:fldCharType="separate"/>
      </w:r>
      <w:r w:rsidR="00215E29">
        <w:t>3.3</w:t>
      </w:r>
      <w:r w:rsidR="00D30B85" w:rsidRPr="009B7F14">
        <w:fldChar w:fldCharType="end"/>
      </w:r>
      <w:r w:rsidRPr="009B7F14">
        <w:t xml:space="preserve"> </w:t>
      </w:r>
      <w:r w:rsidR="00D30B85" w:rsidRPr="009B7F14">
        <w:t xml:space="preserve">under </w:t>
      </w:r>
      <w:r w:rsidRPr="009B7F14">
        <w:t>Segregation of Duties</w:t>
      </w:r>
      <w:r w:rsidR="00B05A17" w:rsidRPr="009B7F14">
        <w:t>.</w:t>
      </w:r>
    </w:p>
    <w:p w14:paraId="68021342" w14:textId="577D7663" w:rsidR="0048443C" w:rsidRPr="009B7F14" w:rsidRDefault="0091560D" w:rsidP="00413D05">
      <w:pPr>
        <w:pStyle w:val="ListParagraph"/>
        <w:spacing w:before="0" w:after="0"/>
        <w:ind w:left="1077"/>
        <w:contextualSpacing w:val="0"/>
      </w:pPr>
      <w:r w:rsidRPr="009B7F14">
        <w:t>The MCS shall describe the payment</w:t>
      </w:r>
      <w:r w:rsidR="00254720">
        <w:t>s flows from the PO to projects</w:t>
      </w:r>
    </w:p>
    <w:p w14:paraId="32A9B4DA" w14:textId="77777777" w:rsidR="00B05A17" w:rsidRPr="009B7F14" w:rsidRDefault="00B05A17" w:rsidP="009F01EE">
      <w:pPr>
        <w:pStyle w:val="ListParagraph"/>
        <w:numPr>
          <w:ilvl w:val="0"/>
          <w:numId w:val="3"/>
        </w:numPr>
      </w:pPr>
      <w:r w:rsidRPr="009B7F14">
        <w:t>The selection procedures</w:t>
      </w:r>
    </w:p>
    <w:p w14:paraId="338BDBEC" w14:textId="77777777" w:rsidR="00A20EF6" w:rsidRPr="009B7F14" w:rsidRDefault="00A20EF6" w:rsidP="00376576">
      <w:pPr>
        <w:pStyle w:val="ListParagraph"/>
        <w:ind w:left="1077"/>
      </w:pPr>
      <w:r w:rsidRPr="009B7F14">
        <w:t>The MCS shall describe the procedures for the selection of projects.</w:t>
      </w:r>
    </w:p>
    <w:p w14:paraId="1780C694" w14:textId="77777777" w:rsidR="00851093" w:rsidRPr="009B7F14" w:rsidRDefault="00851093" w:rsidP="009F01EE">
      <w:pPr>
        <w:pStyle w:val="ListParagraph"/>
        <w:numPr>
          <w:ilvl w:val="0"/>
          <w:numId w:val="3"/>
        </w:numPr>
      </w:pPr>
      <w:r w:rsidRPr="009B7F14">
        <w:t xml:space="preserve">The </w:t>
      </w:r>
      <w:r w:rsidR="00B05A17" w:rsidRPr="009B7F14">
        <w:t>procedures f</w:t>
      </w:r>
      <w:r w:rsidRPr="009B7F14">
        <w:t xml:space="preserve">or verification of </w:t>
      </w:r>
      <w:r w:rsidR="003E0A42" w:rsidRPr="009B7F14">
        <w:t>financial reports</w:t>
      </w:r>
    </w:p>
    <w:p w14:paraId="424EC713" w14:textId="77777777" w:rsidR="00851093" w:rsidRPr="009B7F14" w:rsidRDefault="00851093" w:rsidP="00413D05">
      <w:pPr>
        <w:pStyle w:val="ListParagraph"/>
        <w:spacing w:before="0" w:after="0"/>
        <w:ind w:left="1077"/>
      </w:pPr>
      <w:r w:rsidRPr="009B7F14">
        <w:t>The MCS shall describe the procedures for ensuring the correctness and regularity of expenditure. The verifications shall cover the administrative, financial, technical and physical aspects of the projects, and be in accordance with the principle of proportionali</w:t>
      </w:r>
      <w:r w:rsidR="00E017C1" w:rsidRPr="009B7F14">
        <w:t xml:space="preserve">ty. The MCS can, for instance, </w:t>
      </w:r>
      <w:r w:rsidRPr="009B7F14">
        <w:t>describe the standards and procedures for the two types of verifications that can be conducted</w:t>
      </w:r>
      <w:r w:rsidR="008E3D30">
        <w:t xml:space="preserve">, i.e. </w:t>
      </w:r>
      <w:r w:rsidRPr="009B7F14">
        <w:t>administrative verification</w:t>
      </w:r>
      <w:r w:rsidR="00D3037A" w:rsidRPr="009B7F14">
        <w:t>s</w:t>
      </w:r>
      <w:r w:rsidR="00D30B85" w:rsidRPr="009B7F14">
        <w:t xml:space="preserve"> (desk-based verifications)</w:t>
      </w:r>
      <w:r w:rsidR="008E3D30">
        <w:t xml:space="preserve"> and </w:t>
      </w:r>
      <w:r w:rsidR="00D30B85" w:rsidRPr="009B7F14">
        <w:t>on-the-sport verifications</w:t>
      </w:r>
      <w:r w:rsidR="008E3D30">
        <w:t>.</w:t>
      </w:r>
    </w:p>
    <w:p w14:paraId="6337FD4A" w14:textId="77777777" w:rsidR="00B27213" w:rsidRPr="009B7F14" w:rsidRDefault="00851093" w:rsidP="009F01EE">
      <w:pPr>
        <w:pStyle w:val="ListParagraph"/>
        <w:numPr>
          <w:ilvl w:val="0"/>
          <w:numId w:val="3"/>
        </w:numPr>
        <w:spacing w:after="0"/>
      </w:pPr>
      <w:r w:rsidRPr="009B7F14">
        <w:t>The reporting and monitoring system</w:t>
      </w:r>
    </w:p>
    <w:p w14:paraId="043B91B7" w14:textId="158E7D5F" w:rsidR="00851093" w:rsidRPr="009B7F14" w:rsidRDefault="00851093" w:rsidP="00413D05">
      <w:pPr>
        <w:pStyle w:val="ListParagraph"/>
        <w:spacing w:before="0" w:after="0"/>
        <w:ind w:left="1077"/>
        <w:contextualSpacing w:val="0"/>
      </w:pPr>
      <w:r w:rsidRPr="009B7F14">
        <w:t>The PO is responsible for annual monitoring of a sample of projects, selected based on risk assessment and including random samples (</w:t>
      </w:r>
      <w:r w:rsidR="00324783" w:rsidRPr="009B7F14">
        <w:t xml:space="preserve">Reg. </w:t>
      </w:r>
      <w:r w:rsidRPr="009B7F14">
        <w:t>Art</w:t>
      </w:r>
      <w:r w:rsidR="00324783" w:rsidRPr="009B7F14">
        <w:t>.</w:t>
      </w:r>
      <w:r w:rsidRPr="009B7F14">
        <w:t xml:space="preserve"> </w:t>
      </w:r>
      <w:r w:rsidR="00580250" w:rsidRPr="009B7F14">
        <w:t>5</w:t>
      </w:r>
      <w:r w:rsidRPr="009B7F14">
        <w:t>.</w:t>
      </w:r>
      <w:r w:rsidR="00580250" w:rsidRPr="009B7F14">
        <w:t>6</w:t>
      </w:r>
      <w:r w:rsidRPr="009B7F14">
        <w:t>.1</w:t>
      </w:r>
      <w:r w:rsidR="008F3767" w:rsidRPr="009B7F14">
        <w:t xml:space="preserve"> (</w:t>
      </w:r>
      <w:r w:rsidR="00580250" w:rsidRPr="009B7F14">
        <w:t>i</w:t>
      </w:r>
      <w:r w:rsidR="008F3767" w:rsidRPr="009B7F14">
        <w:t>)</w:t>
      </w:r>
      <w:r w:rsidRPr="009B7F14">
        <w:t>). Thi</w:t>
      </w:r>
      <w:r w:rsidR="00D3037A" w:rsidRPr="009B7F14">
        <w:t>s procedure</w:t>
      </w:r>
      <w:r w:rsidR="008F3767" w:rsidRPr="009B7F14">
        <w:t xml:space="preserve"> should be explained in the MCS</w:t>
      </w:r>
      <w:r w:rsidR="00D3037A" w:rsidRPr="009B7F14">
        <w:t xml:space="preserve"> </w:t>
      </w:r>
      <w:r w:rsidR="0091560D" w:rsidRPr="009B7F14">
        <w:t>Annual programme reports</w:t>
      </w:r>
      <w:r w:rsidR="008F3767" w:rsidRPr="009B7F14">
        <w:t>.</w:t>
      </w:r>
      <w:r w:rsidR="00633A75">
        <w:t xml:space="preserve"> In addition, the programme level MCS shall include the description of the tools to be used in monitoring, the frequency of monitoring, and how the information gathered through monitoring will be stored and organised. For more information on risk assessment and monitoring tools, please consult the Results Guideline.</w:t>
      </w:r>
    </w:p>
    <w:p w14:paraId="7C51BF2B" w14:textId="77777777" w:rsidR="00087907" w:rsidRPr="009B7F14" w:rsidRDefault="00851093" w:rsidP="009F01EE">
      <w:pPr>
        <w:pStyle w:val="ListParagraph"/>
        <w:numPr>
          <w:ilvl w:val="0"/>
          <w:numId w:val="3"/>
        </w:numPr>
        <w:spacing w:after="0"/>
      </w:pPr>
      <w:r w:rsidRPr="009B7F14">
        <w:t xml:space="preserve">The system for preventing, mitigating, detecting, reporting on and remedying irregularities </w:t>
      </w:r>
    </w:p>
    <w:p w14:paraId="671FBC78" w14:textId="77777777" w:rsidR="00087907" w:rsidRPr="009B7F14" w:rsidRDefault="00851093" w:rsidP="00413D05">
      <w:pPr>
        <w:pStyle w:val="ListParagraph"/>
        <w:spacing w:before="0" w:after="0"/>
        <w:ind w:left="1077"/>
      </w:pPr>
      <w:r w:rsidRPr="009B7F14">
        <w:t xml:space="preserve">The MCS should explain in detail </w:t>
      </w:r>
      <w:r w:rsidR="00B05A17" w:rsidRPr="009B7F14">
        <w:t xml:space="preserve">what are the preventive and mitigating measures, </w:t>
      </w:r>
      <w:r w:rsidRPr="009B7F14">
        <w:t xml:space="preserve">how irregularities </w:t>
      </w:r>
      <w:r w:rsidR="00B05A17" w:rsidRPr="009B7F14">
        <w:t>are detected, reported and also how the irregularities are planned to be remedied.</w:t>
      </w:r>
      <w:r w:rsidRPr="009B7F14">
        <w:t xml:space="preserve">  </w:t>
      </w:r>
    </w:p>
    <w:p w14:paraId="478E3E81" w14:textId="77777777" w:rsidR="00851093" w:rsidRPr="009B7F14" w:rsidRDefault="00851093" w:rsidP="009F01EE">
      <w:pPr>
        <w:pStyle w:val="ListParagraph"/>
        <w:numPr>
          <w:ilvl w:val="0"/>
          <w:numId w:val="3"/>
        </w:numPr>
        <w:spacing w:after="0"/>
        <w:contextualSpacing w:val="0"/>
      </w:pPr>
      <w:r w:rsidRPr="009B7F14">
        <w:t>System established to maintain an audit trail of all supported activities</w:t>
      </w:r>
    </w:p>
    <w:p w14:paraId="3700BED2" w14:textId="77777777" w:rsidR="00851093" w:rsidRPr="009B7F14" w:rsidRDefault="00851093" w:rsidP="00413D05">
      <w:pPr>
        <w:pStyle w:val="ListParagraph"/>
        <w:spacing w:before="0" w:after="0"/>
        <w:ind w:left="1077"/>
      </w:pPr>
      <w:r w:rsidRPr="009B7F14">
        <w:t xml:space="preserve">The MCS shall contain information about the systems and procedures to ensure an adequate audit trail.  All financial records connected to the programme and the project should be stored in computerised form.   </w:t>
      </w:r>
    </w:p>
    <w:p w14:paraId="32A53D9B" w14:textId="77777777" w:rsidR="00851093" w:rsidRPr="009B7F14" w:rsidRDefault="009B7F14" w:rsidP="00920571">
      <w:pPr>
        <w:pStyle w:val="Heading3"/>
      </w:pPr>
      <w:r>
        <w:t xml:space="preserve"> </w:t>
      </w:r>
      <w:r w:rsidR="00D3037A" w:rsidRPr="009B7F14">
        <w:t xml:space="preserve">Audit </w:t>
      </w:r>
      <w:r w:rsidR="00851093" w:rsidRPr="009B7F14">
        <w:t>Report</w:t>
      </w:r>
      <w:r w:rsidR="00D3037A" w:rsidRPr="009B7F14">
        <w:t xml:space="preserve"> </w:t>
      </w:r>
      <w:r w:rsidR="00652CEF" w:rsidRPr="009B7F14">
        <w:t xml:space="preserve">and opinion on </w:t>
      </w:r>
      <w:r w:rsidR="008346D0" w:rsidRPr="009B7F14">
        <w:t>the MCS</w:t>
      </w:r>
    </w:p>
    <w:p w14:paraId="13F7AE7E" w14:textId="52A520E4" w:rsidR="007926F5" w:rsidRPr="00D930E5" w:rsidRDefault="007926F5" w:rsidP="00E74DEC">
      <w:pPr>
        <w:keepNext/>
        <w:keepLines/>
      </w:pPr>
      <w:r w:rsidRPr="009B7F14">
        <w:rPr>
          <w:noProof/>
          <w:lang w:eastAsia="en-GB"/>
        </w:rPr>
        <mc:AlternateContent>
          <mc:Choice Requires="wps">
            <w:drawing>
              <wp:anchor distT="0" distB="0" distL="114300" distR="114300" simplePos="0" relativeHeight="251719680" behindDoc="0" locked="0" layoutInCell="1" allowOverlap="1" wp14:anchorId="6BDB0AFB" wp14:editId="4D412C21">
                <wp:simplePos x="0" y="0"/>
                <wp:positionH relativeFrom="column">
                  <wp:posOffset>2847975</wp:posOffset>
                </wp:positionH>
                <wp:positionV relativeFrom="paragraph">
                  <wp:posOffset>21590</wp:posOffset>
                </wp:positionV>
                <wp:extent cx="3457575" cy="1771650"/>
                <wp:effectExtent l="0" t="0" r="28575" b="247650"/>
                <wp:wrapSquare wrapText="bothSides"/>
                <wp:docPr id="3" name="Rounded Rectangular Callout 3"/>
                <wp:cNvGraphicFramePr/>
                <a:graphic xmlns:a="http://schemas.openxmlformats.org/drawingml/2006/main">
                  <a:graphicData uri="http://schemas.microsoft.com/office/word/2010/wordprocessingShape">
                    <wps:wsp>
                      <wps:cNvSpPr/>
                      <wps:spPr>
                        <a:xfrm>
                          <a:off x="0" y="0"/>
                          <a:ext cx="3457575" cy="1771650"/>
                        </a:xfrm>
                        <a:prstGeom prst="wedgeRoundRectCallout">
                          <a:avLst/>
                        </a:prstGeom>
                      </wps:spPr>
                      <wps:style>
                        <a:lnRef idx="2">
                          <a:schemeClr val="dk1"/>
                        </a:lnRef>
                        <a:fillRef idx="1">
                          <a:schemeClr val="lt1"/>
                        </a:fillRef>
                        <a:effectRef idx="0">
                          <a:schemeClr val="dk1"/>
                        </a:effectRef>
                        <a:fontRef idx="minor">
                          <a:schemeClr val="dk1"/>
                        </a:fontRef>
                      </wps:style>
                      <wps:txbx>
                        <w:txbxContent>
                          <w:p w14:paraId="13E61801" w14:textId="77777777" w:rsidR="00A87AB3" w:rsidRPr="00ED13FE" w:rsidRDefault="00A87AB3" w:rsidP="007926F5">
                            <w:pPr>
                              <w:jc w:val="left"/>
                              <w:rPr>
                                <w:color w:val="4472C4" w:themeColor="accent5"/>
                                <w:sz w:val="18"/>
                              </w:rPr>
                            </w:pPr>
                            <w:r w:rsidRPr="00ED13FE">
                              <w:rPr>
                                <w:color w:val="4472C4" w:themeColor="accent5"/>
                                <w:sz w:val="18"/>
                              </w:rPr>
                              <w:t xml:space="preserve">In the audit report the AA shall, as a minimum (Reg. Art. 5.7.3):  </w:t>
                            </w:r>
                          </w:p>
                          <w:p w14:paraId="7D33A77D" w14:textId="6F5A80E6" w:rsidR="00A87AB3" w:rsidRPr="00ED13FE" w:rsidRDefault="00A87AB3" w:rsidP="009F01EE">
                            <w:pPr>
                              <w:pStyle w:val="ListParagraph"/>
                              <w:numPr>
                                <w:ilvl w:val="0"/>
                                <w:numId w:val="35"/>
                              </w:numPr>
                              <w:jc w:val="left"/>
                              <w:rPr>
                                <w:color w:val="4472C4" w:themeColor="accent5"/>
                                <w:sz w:val="18"/>
                              </w:rPr>
                            </w:pPr>
                            <w:r w:rsidRPr="00ED13FE">
                              <w:rPr>
                                <w:color w:val="4472C4" w:themeColor="accent5"/>
                                <w:sz w:val="18"/>
                              </w:rPr>
                              <w:t>Include an audit opinion confirming that the MCS complies with the Regulation and generally</w:t>
                            </w:r>
                            <w:r>
                              <w:rPr>
                                <w:color w:val="4472C4" w:themeColor="accent5"/>
                                <w:sz w:val="18"/>
                              </w:rPr>
                              <w:t xml:space="preserve"> accepted accounting principles</w:t>
                            </w:r>
                            <w:r w:rsidRPr="00ED13FE">
                              <w:rPr>
                                <w:color w:val="4472C4" w:themeColor="accent5"/>
                                <w:sz w:val="18"/>
                              </w:rPr>
                              <w:t xml:space="preserve"> </w:t>
                            </w:r>
                          </w:p>
                          <w:p w14:paraId="41AD7167" w14:textId="415C674C" w:rsidR="00A87AB3" w:rsidRPr="00ED13FE" w:rsidRDefault="00A87AB3" w:rsidP="009F01EE">
                            <w:pPr>
                              <w:pStyle w:val="ListParagraph"/>
                              <w:numPr>
                                <w:ilvl w:val="0"/>
                                <w:numId w:val="35"/>
                              </w:numPr>
                              <w:jc w:val="left"/>
                              <w:rPr>
                                <w:color w:val="4472C4" w:themeColor="accent5"/>
                                <w:sz w:val="18"/>
                              </w:rPr>
                            </w:pPr>
                            <w:r w:rsidRPr="00ED13FE">
                              <w:rPr>
                                <w:color w:val="4472C4" w:themeColor="accent5"/>
                                <w:sz w:val="18"/>
                              </w:rPr>
                              <w:t>Include an assessment of the proportionality of the MCS requirements in relation to the effectiveness of achieving t</w:t>
                            </w:r>
                            <w:r>
                              <w:rPr>
                                <w:color w:val="4472C4" w:themeColor="accent5"/>
                                <w:sz w:val="18"/>
                              </w:rPr>
                              <w:t>he objectives of the programmes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B0AFB" id="Rounded Rectangular Callout 3" o:spid="_x0000_s1040" type="#_x0000_t62" style="position:absolute;left:0;text-align:left;margin-left:224.25pt;margin-top:1.7pt;width:272.25pt;height:13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" adj="6300,24300" fillcolor="white [3201]" strokecolor="black [3200]" strokeweight="1pt">
                <v:textbox>
                  <w:txbxContent>
                    <w:p w14:paraId="13E61801" w14:textId="77777777" w:rsidR="00A87AB3" w:rsidRPr="00ED13FE" w:rsidRDefault="00A87AB3" w:rsidP="007926F5">
                      <w:pPr>
                        <w:jc w:val="left"/>
                        <w:rPr>
                          <w:color w:val="4472C4" w:themeColor="accent5"/>
                          <w:sz w:val="18"/>
                        </w:rPr>
                      </w:pPr>
                      <w:r w:rsidRPr="00ED13FE">
                        <w:rPr>
                          <w:color w:val="4472C4" w:themeColor="accent5"/>
                          <w:sz w:val="18"/>
                        </w:rPr>
                        <w:t xml:space="preserve">In the audit report the AA shall, as a minimum (Reg. Art. 5.7.3):  </w:t>
                      </w:r>
                    </w:p>
                    <w:p w14:paraId="7D33A77D" w14:textId="6F5A80E6" w:rsidR="00A87AB3" w:rsidRPr="00ED13FE" w:rsidRDefault="00A87AB3" w:rsidP="009F01EE">
                      <w:pPr>
                        <w:pStyle w:val="ListParagraph"/>
                        <w:numPr>
                          <w:ilvl w:val="0"/>
                          <w:numId w:val="35"/>
                        </w:numPr>
                        <w:jc w:val="left"/>
                        <w:rPr>
                          <w:color w:val="4472C4" w:themeColor="accent5"/>
                          <w:sz w:val="18"/>
                        </w:rPr>
                      </w:pPr>
                      <w:r w:rsidRPr="00ED13FE">
                        <w:rPr>
                          <w:color w:val="4472C4" w:themeColor="accent5"/>
                          <w:sz w:val="18"/>
                        </w:rPr>
                        <w:t>Include an audit opinion confirming that the MCS complies with the Regulation and generally</w:t>
                      </w:r>
                      <w:r>
                        <w:rPr>
                          <w:color w:val="4472C4" w:themeColor="accent5"/>
                          <w:sz w:val="18"/>
                        </w:rPr>
                        <w:t xml:space="preserve"> accepted accounting principles</w:t>
                      </w:r>
                      <w:r w:rsidRPr="00ED13FE">
                        <w:rPr>
                          <w:color w:val="4472C4" w:themeColor="accent5"/>
                          <w:sz w:val="18"/>
                        </w:rPr>
                        <w:t xml:space="preserve"> </w:t>
                      </w:r>
                    </w:p>
                    <w:p w14:paraId="41AD7167" w14:textId="415C674C" w:rsidR="00A87AB3" w:rsidRPr="00ED13FE" w:rsidRDefault="00A87AB3" w:rsidP="009F01EE">
                      <w:pPr>
                        <w:pStyle w:val="ListParagraph"/>
                        <w:numPr>
                          <w:ilvl w:val="0"/>
                          <w:numId w:val="35"/>
                        </w:numPr>
                        <w:jc w:val="left"/>
                        <w:rPr>
                          <w:color w:val="4472C4" w:themeColor="accent5"/>
                          <w:sz w:val="18"/>
                        </w:rPr>
                      </w:pPr>
                      <w:r w:rsidRPr="00ED13FE">
                        <w:rPr>
                          <w:color w:val="4472C4" w:themeColor="accent5"/>
                          <w:sz w:val="18"/>
                        </w:rPr>
                        <w:t>Include an assessment of the proportionality of the MCS requirements in relation to the effectiveness of achieving t</w:t>
                      </w:r>
                      <w:r>
                        <w:rPr>
                          <w:color w:val="4472C4" w:themeColor="accent5"/>
                          <w:sz w:val="18"/>
                        </w:rPr>
                        <w:t>he objectives of the programmes</w:t>
                      </w:r>
                    </w:p>
                  </w:txbxContent>
                </v:textbox>
                <w10:wrap type="square"/>
              </v:shape>
            </w:pict>
          </mc:Fallback>
        </mc:AlternateContent>
      </w:r>
      <w:r w:rsidR="00851093" w:rsidRPr="009B7F14">
        <w:t>The</w:t>
      </w:r>
      <w:r w:rsidR="008346D0" w:rsidRPr="009B7F14">
        <w:t xml:space="preserve"> MCS </w:t>
      </w:r>
      <w:r w:rsidR="00652CEF" w:rsidRPr="009B7F14">
        <w:t xml:space="preserve">on both levels </w:t>
      </w:r>
      <w:r w:rsidR="00B05A17" w:rsidRPr="009B7F14">
        <w:t>shall be accompanied by an assurance r</w:t>
      </w:r>
      <w:r w:rsidR="00D5524B" w:rsidRPr="009B7F14">
        <w:t>eport and o</w:t>
      </w:r>
      <w:r w:rsidR="00652CEF" w:rsidRPr="009B7F14">
        <w:t>pinion by the AA confirming that the systems</w:t>
      </w:r>
      <w:r w:rsidR="00BE75CB" w:rsidRPr="009B7F14">
        <w:t xml:space="preserve"> of the Beneficiary State and </w:t>
      </w:r>
      <w:r w:rsidR="00671154" w:rsidRPr="009B7F14">
        <w:t xml:space="preserve">the </w:t>
      </w:r>
      <w:r w:rsidR="00BE75CB" w:rsidRPr="009B7F14">
        <w:t>PO</w:t>
      </w:r>
      <w:r w:rsidR="00652CEF" w:rsidRPr="009B7F14">
        <w:t xml:space="preserve"> comply with the </w:t>
      </w:r>
      <w:r w:rsidR="00024640" w:rsidRPr="009B7F14">
        <w:t>R</w:t>
      </w:r>
      <w:r w:rsidR="00652CEF" w:rsidRPr="009B7F14">
        <w:t xml:space="preserve">egulations and generally accepted accounting principles.  </w:t>
      </w:r>
      <w:r w:rsidR="00A20EF6" w:rsidRPr="009B7F14">
        <w:t>T</w:t>
      </w:r>
      <w:r w:rsidR="00652CEF" w:rsidRPr="009B7F14">
        <w:t xml:space="preserve">he report shall also include a statement whether the systems’ requirements are considered proportionate in </w:t>
      </w:r>
      <w:r w:rsidR="00024640" w:rsidRPr="009B7F14">
        <w:t>relation to the effectiveness of</w:t>
      </w:r>
      <w:r w:rsidR="00652CEF" w:rsidRPr="009B7F14">
        <w:t xml:space="preserve"> achieving th</w:t>
      </w:r>
      <w:r w:rsidR="00D930E5">
        <w:t xml:space="preserve">e objectives of the </w:t>
      </w:r>
      <w:r w:rsidR="00D930E5" w:rsidRPr="00DF4357">
        <w:t>programmes i.e. whether the content and form of the MCS requirements does not exceed what is necessary to achieve the objectives of the programme.</w:t>
      </w:r>
    </w:p>
    <w:p w14:paraId="1FEDD478" w14:textId="77777777" w:rsidR="009B7F14" w:rsidRPr="007B26A8" w:rsidRDefault="009B7F14">
      <w:pPr>
        <w:spacing w:before="0" w:after="160"/>
        <w:jc w:val="left"/>
        <w:rPr>
          <w:rFonts w:eastAsia="MS Mincho" w:cs="Arial"/>
          <w:color w:val="000000"/>
          <w:spacing w:val="-10"/>
          <w:kern w:val="28"/>
          <w:szCs w:val="20"/>
          <w:lang w:eastAsia="fr-FR"/>
        </w:rPr>
      </w:pPr>
      <w:bookmarkStart w:id="44" w:name="_Ref462300758"/>
      <w:bookmarkStart w:id="45" w:name="_Ref462301410"/>
      <w:bookmarkStart w:id="46" w:name="_Ref462301883"/>
      <w:bookmarkStart w:id="47" w:name="_Ref462302055"/>
      <w:r w:rsidRPr="007B26A8">
        <w:rPr>
          <w:szCs w:val="20"/>
        </w:rPr>
        <w:br w:type="page"/>
      </w:r>
    </w:p>
    <w:p w14:paraId="01FCB805" w14:textId="77777777" w:rsidR="00EA0104" w:rsidRPr="009B7F14" w:rsidRDefault="00EA0104" w:rsidP="00177429">
      <w:pPr>
        <w:pStyle w:val="Heading1"/>
      </w:pPr>
      <w:bookmarkStart w:id="48" w:name="_Toc484174841"/>
      <w:r w:rsidRPr="009B7F14">
        <w:t>Implementation phase</w:t>
      </w:r>
      <w:bookmarkEnd w:id="44"/>
      <w:bookmarkEnd w:id="45"/>
      <w:bookmarkEnd w:id="46"/>
      <w:bookmarkEnd w:id="47"/>
      <w:bookmarkEnd w:id="48"/>
    </w:p>
    <w:p w14:paraId="572C42AD" w14:textId="77777777" w:rsidR="00EA0104" w:rsidRPr="009B7F14" w:rsidRDefault="00C364E4" w:rsidP="00920571">
      <w:pPr>
        <w:pStyle w:val="Heading2"/>
      </w:pPr>
      <w:bookmarkStart w:id="49" w:name="_Toc484174842"/>
      <w:r w:rsidRPr="009B7F14">
        <w:t>Reporting and payments (</w:t>
      </w:r>
      <w:r w:rsidR="004F151A" w:rsidRPr="009B7F14">
        <w:t xml:space="preserve">Reg. </w:t>
      </w:r>
      <w:r w:rsidRPr="009B7F14">
        <w:t>Art. 9</w:t>
      </w:r>
      <w:r w:rsidR="00EA0104" w:rsidRPr="009B7F14">
        <w:t>.1)</w:t>
      </w:r>
      <w:bookmarkEnd w:id="49"/>
    </w:p>
    <w:p w14:paraId="5806BCCB" w14:textId="77777777" w:rsidR="005D0B75" w:rsidRPr="009B7F14" w:rsidRDefault="005D0B75" w:rsidP="00376576">
      <w:r w:rsidRPr="009B7F14">
        <w:t>Payments to programmes shall take the form of advance payments, interim payments, and payments of the final b</w:t>
      </w:r>
      <w:r w:rsidR="002B226E" w:rsidRPr="009B7F14">
        <w:t xml:space="preserve">alance in accordance with </w:t>
      </w:r>
      <w:r w:rsidR="00324783" w:rsidRPr="009B7F14">
        <w:t xml:space="preserve">Reg. </w:t>
      </w:r>
      <w:r w:rsidR="00023024" w:rsidRPr="009B7F14">
        <w:t xml:space="preserve">Art. </w:t>
      </w:r>
      <w:r w:rsidR="002B226E" w:rsidRPr="009B7F14">
        <w:t>9</w:t>
      </w:r>
      <w:r w:rsidRPr="009B7F14">
        <w:t>.1. The underlying principle for paymen</w:t>
      </w:r>
      <w:r w:rsidR="002B226E" w:rsidRPr="009B7F14">
        <w:t xml:space="preserve">ts made within the </w:t>
      </w:r>
      <w:r w:rsidRPr="009B7F14">
        <w:t>Financial Mechanisms</w:t>
      </w:r>
      <w:r w:rsidR="002B226E" w:rsidRPr="009B7F14">
        <w:t xml:space="preserve"> 2014-2021</w:t>
      </w:r>
      <w:r w:rsidRPr="009B7F14">
        <w:t xml:space="preserve"> is requests for advance instalments submitted throughout the implementation period in order to pre-finance estimated future expenditure. The P</w:t>
      </w:r>
      <w:r w:rsidR="00895378" w:rsidRPr="009B7F14">
        <w:t>O</w:t>
      </w:r>
      <w:r w:rsidR="005F1A59" w:rsidRPr="009B7F14">
        <w:t>s</w:t>
      </w:r>
      <w:r w:rsidRPr="009B7F14">
        <w:t xml:space="preserve"> are at the same time requested to provide reports on the use of previously received funds to cover actually incurred expenditure within the programmes.</w:t>
      </w:r>
    </w:p>
    <w:p w14:paraId="15858F57" w14:textId="3403F1C1" w:rsidR="000230A5" w:rsidRPr="009B7F14" w:rsidRDefault="00222112" w:rsidP="00376576">
      <w:r w:rsidRPr="009B7F14">
        <w:rPr>
          <w:noProof/>
          <w:lang w:eastAsia="en-GB"/>
        </w:rPr>
        <mc:AlternateContent>
          <mc:Choice Requires="wps">
            <w:drawing>
              <wp:anchor distT="45720" distB="45720" distL="114300" distR="114300" simplePos="0" relativeHeight="251695104" behindDoc="0" locked="0" layoutInCell="1" allowOverlap="1" wp14:anchorId="5846CC06" wp14:editId="693A70BE">
                <wp:simplePos x="0" y="0"/>
                <wp:positionH relativeFrom="column">
                  <wp:posOffset>57150</wp:posOffset>
                </wp:positionH>
                <wp:positionV relativeFrom="paragraph">
                  <wp:posOffset>1624330</wp:posOffset>
                </wp:positionV>
                <wp:extent cx="5648325" cy="19240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24050"/>
                        </a:xfrm>
                        <a:prstGeom prst="rect">
                          <a:avLst/>
                        </a:prstGeom>
                        <a:solidFill>
                          <a:srgbClr val="FFFFFF"/>
                        </a:solidFill>
                        <a:ln w="9525">
                          <a:solidFill>
                            <a:srgbClr val="000000"/>
                          </a:solidFill>
                          <a:miter lim="800000"/>
                          <a:headEnd/>
                          <a:tailEnd/>
                        </a:ln>
                      </wps:spPr>
                      <wps:txbx>
                        <w:txbxContent>
                          <w:p w14:paraId="137D7746" w14:textId="77777777" w:rsidR="00A87AB3" w:rsidRPr="00F34088" w:rsidRDefault="00A87AB3" w:rsidP="00222112">
                            <w:pPr>
                              <w:rPr>
                                <w:b/>
                                <w:sz w:val="16"/>
                                <w:szCs w:val="18"/>
                              </w:rPr>
                            </w:pPr>
                            <w:r w:rsidRPr="00F34088">
                              <w:rPr>
                                <w:b/>
                                <w:sz w:val="16"/>
                                <w:szCs w:val="18"/>
                              </w:rPr>
                              <w:t>Example:</w:t>
                            </w:r>
                          </w:p>
                          <w:p w14:paraId="4F556BC1" w14:textId="77777777" w:rsidR="00A87AB3" w:rsidRPr="00F34088" w:rsidRDefault="00A87AB3" w:rsidP="0049030C">
                            <w:pPr>
                              <w:pStyle w:val="Caption"/>
                              <w:rPr>
                                <w:sz w:val="16"/>
                              </w:rPr>
                            </w:pPr>
                            <w:bookmarkStart w:id="50" w:name="_Toc467246322"/>
                            <w:bookmarkStart w:id="51" w:name="_Toc484174867"/>
                            <w:r w:rsidRPr="00F34088">
                              <w:rPr>
                                <w:sz w:val="16"/>
                              </w:rPr>
                              <w:t xml:space="preserve">Table </w:t>
                            </w:r>
                            <w:r w:rsidRPr="00F34088">
                              <w:rPr>
                                <w:sz w:val="16"/>
                              </w:rPr>
                              <w:fldChar w:fldCharType="begin"/>
                            </w:r>
                            <w:r w:rsidRPr="00F34088">
                              <w:rPr>
                                <w:sz w:val="16"/>
                              </w:rPr>
                              <w:instrText xml:space="preserve"> SEQ Table \* ARABIC </w:instrText>
                            </w:r>
                            <w:r w:rsidRPr="00F34088">
                              <w:rPr>
                                <w:sz w:val="16"/>
                              </w:rPr>
                              <w:fldChar w:fldCharType="separate"/>
                            </w:r>
                            <w:r>
                              <w:rPr>
                                <w:noProof/>
                                <w:sz w:val="16"/>
                              </w:rPr>
                              <w:t>5</w:t>
                            </w:r>
                            <w:r w:rsidRPr="00F34088">
                              <w:rPr>
                                <w:noProof/>
                                <w:sz w:val="16"/>
                              </w:rPr>
                              <w:fldChar w:fldCharType="end"/>
                            </w:r>
                            <w:r w:rsidRPr="00F34088">
                              <w:rPr>
                                <w:sz w:val="16"/>
                              </w:rPr>
                              <w:t>: Management cost allocation</w:t>
                            </w:r>
                            <w:bookmarkEnd w:id="50"/>
                            <w:bookmarkEnd w:id="51"/>
                          </w:p>
                          <w:tbl>
                            <w:tblPr>
                              <w:tblStyle w:val="TableGrid"/>
                              <w:tblW w:w="4955" w:type="pct"/>
                              <w:tblLook w:val="04A0" w:firstRow="1" w:lastRow="0" w:firstColumn="1" w:lastColumn="0" w:noHBand="0" w:noVBand="1"/>
                            </w:tblPr>
                            <w:tblGrid>
                              <w:gridCol w:w="3460"/>
                              <w:gridCol w:w="1902"/>
                              <w:gridCol w:w="1460"/>
                              <w:gridCol w:w="1684"/>
                            </w:tblGrid>
                            <w:tr w:rsidR="00A87AB3" w:rsidRPr="00F34088" w14:paraId="3992B4F9" w14:textId="77777777" w:rsidTr="006C11C9">
                              <w:trPr>
                                <w:cnfStyle w:val="100000000000" w:firstRow="1" w:lastRow="0" w:firstColumn="0" w:lastColumn="0" w:oddVBand="0" w:evenVBand="0" w:oddHBand="0" w:evenHBand="0" w:firstRowFirstColumn="0" w:firstRowLastColumn="0" w:lastRowFirstColumn="0" w:lastRowLastColumn="0"/>
                                <w:trHeight w:hRule="exact" w:val="454"/>
                              </w:trPr>
                              <w:tc>
                                <w:tcPr>
                                  <w:tcW w:w="2034" w:type="pct"/>
                                  <w:vAlign w:val="center"/>
                                </w:tcPr>
                                <w:p w14:paraId="1B13B537" w14:textId="77777777" w:rsidR="00A87AB3" w:rsidRPr="00F34088" w:rsidRDefault="00A87AB3" w:rsidP="006C11C9">
                                  <w:pPr>
                                    <w:spacing w:after="160" w:line="259" w:lineRule="auto"/>
                                    <w:jc w:val="center"/>
                                    <w:rPr>
                                      <w:b w:val="0"/>
                                      <w:sz w:val="16"/>
                                      <w:szCs w:val="18"/>
                                    </w:rPr>
                                  </w:pPr>
                                  <w:r w:rsidRPr="00F34088">
                                    <w:rPr>
                                      <w:sz w:val="16"/>
                                      <w:szCs w:val="18"/>
                                    </w:rPr>
                                    <w:t>Budget heading</w:t>
                                  </w:r>
                                </w:p>
                              </w:tc>
                              <w:tc>
                                <w:tcPr>
                                  <w:tcW w:w="1118" w:type="pct"/>
                                  <w:vAlign w:val="center"/>
                                </w:tcPr>
                                <w:p w14:paraId="5E1BBA3F" w14:textId="77777777" w:rsidR="00A87AB3" w:rsidRPr="00F34088" w:rsidRDefault="00A87AB3" w:rsidP="006C11C9">
                                  <w:pPr>
                                    <w:spacing w:after="160" w:line="259" w:lineRule="auto"/>
                                    <w:jc w:val="center"/>
                                    <w:rPr>
                                      <w:b w:val="0"/>
                                      <w:sz w:val="16"/>
                                      <w:szCs w:val="18"/>
                                    </w:rPr>
                                  </w:pPr>
                                  <w:r w:rsidRPr="00F34088">
                                    <w:rPr>
                                      <w:sz w:val="16"/>
                                      <w:szCs w:val="18"/>
                                    </w:rPr>
                                    <w:t>EEA/Norway</w:t>
                                  </w:r>
                                </w:p>
                              </w:tc>
                              <w:tc>
                                <w:tcPr>
                                  <w:tcW w:w="858" w:type="pct"/>
                                  <w:vAlign w:val="center"/>
                                </w:tcPr>
                                <w:p w14:paraId="68C4F6B9" w14:textId="77777777" w:rsidR="00A87AB3" w:rsidRPr="00F34088" w:rsidRDefault="00A87AB3" w:rsidP="006C11C9">
                                  <w:pPr>
                                    <w:spacing w:after="160" w:line="259" w:lineRule="auto"/>
                                    <w:jc w:val="center"/>
                                    <w:rPr>
                                      <w:b w:val="0"/>
                                      <w:sz w:val="16"/>
                                      <w:szCs w:val="18"/>
                                    </w:rPr>
                                  </w:pPr>
                                  <w:r w:rsidRPr="00F34088">
                                    <w:rPr>
                                      <w:sz w:val="16"/>
                                      <w:szCs w:val="18"/>
                                    </w:rPr>
                                    <w:t>Co-Fin</w:t>
                                  </w:r>
                                </w:p>
                              </w:tc>
                              <w:tc>
                                <w:tcPr>
                                  <w:tcW w:w="991" w:type="pct"/>
                                  <w:vAlign w:val="center"/>
                                </w:tcPr>
                                <w:p w14:paraId="673A105D" w14:textId="77777777" w:rsidR="00A87AB3" w:rsidRPr="00F34088" w:rsidRDefault="00A87AB3" w:rsidP="006C11C9">
                                  <w:pPr>
                                    <w:spacing w:after="160" w:line="259" w:lineRule="auto"/>
                                    <w:jc w:val="center"/>
                                    <w:rPr>
                                      <w:b w:val="0"/>
                                      <w:sz w:val="16"/>
                                      <w:szCs w:val="18"/>
                                    </w:rPr>
                                  </w:pPr>
                                  <w:r w:rsidRPr="00F34088">
                                    <w:rPr>
                                      <w:sz w:val="16"/>
                                      <w:szCs w:val="18"/>
                                    </w:rPr>
                                    <w:t>Total</w:t>
                                  </w:r>
                                </w:p>
                              </w:tc>
                            </w:tr>
                            <w:tr w:rsidR="00A87AB3" w:rsidRPr="00F34088" w14:paraId="177312FC" w14:textId="77777777" w:rsidTr="006C11C9">
                              <w:trPr>
                                <w:trHeight w:hRule="exact" w:val="454"/>
                              </w:trPr>
                              <w:tc>
                                <w:tcPr>
                                  <w:tcW w:w="2034" w:type="pct"/>
                                  <w:vAlign w:val="center"/>
                                </w:tcPr>
                                <w:p w14:paraId="4C359198" w14:textId="77777777" w:rsidR="00A87AB3" w:rsidRPr="00F34088" w:rsidRDefault="00A87AB3" w:rsidP="006C11C9">
                                  <w:pPr>
                                    <w:spacing w:after="160" w:line="259" w:lineRule="auto"/>
                                    <w:jc w:val="left"/>
                                    <w:rPr>
                                      <w:b/>
                                      <w:sz w:val="16"/>
                                      <w:szCs w:val="18"/>
                                    </w:rPr>
                                  </w:pPr>
                                  <w:r w:rsidRPr="00F34088">
                                    <w:rPr>
                                      <w:sz w:val="16"/>
                                      <w:szCs w:val="18"/>
                                    </w:rPr>
                                    <w:t>Programme Management</w:t>
                                  </w:r>
                                </w:p>
                              </w:tc>
                              <w:tc>
                                <w:tcPr>
                                  <w:tcW w:w="1118" w:type="pct"/>
                                  <w:vAlign w:val="center"/>
                                </w:tcPr>
                                <w:p w14:paraId="3E1F4597" w14:textId="2967312A" w:rsidR="00A87AB3" w:rsidRPr="00F34088" w:rsidRDefault="00A87AB3" w:rsidP="00DF4357">
                                  <w:pPr>
                                    <w:spacing w:after="160" w:line="259" w:lineRule="auto"/>
                                    <w:jc w:val="right"/>
                                    <w:rPr>
                                      <w:sz w:val="16"/>
                                      <w:szCs w:val="18"/>
                                    </w:rPr>
                                  </w:pPr>
                                  <w:r w:rsidRPr="00F34088">
                                    <w:rPr>
                                      <w:sz w:val="16"/>
                                      <w:szCs w:val="18"/>
                                    </w:rPr>
                                    <w:t>€</w:t>
                                  </w:r>
                                  <w:r>
                                    <w:rPr>
                                      <w:sz w:val="16"/>
                                      <w:szCs w:val="18"/>
                                    </w:rPr>
                                    <w:t xml:space="preserve"> </w:t>
                                  </w:r>
                                  <w:r w:rsidRPr="00F34088">
                                    <w:rPr>
                                      <w:sz w:val="16"/>
                                      <w:szCs w:val="18"/>
                                    </w:rPr>
                                    <w:t>850</w:t>
                                  </w:r>
                                  <w:r>
                                    <w:rPr>
                                      <w:sz w:val="16"/>
                                      <w:szCs w:val="18"/>
                                    </w:rPr>
                                    <w:t>,</w:t>
                                  </w:r>
                                  <w:r w:rsidRPr="00F34088">
                                    <w:rPr>
                                      <w:sz w:val="16"/>
                                      <w:szCs w:val="18"/>
                                    </w:rPr>
                                    <w:t>000</w:t>
                                  </w:r>
                                </w:p>
                              </w:tc>
                              <w:tc>
                                <w:tcPr>
                                  <w:tcW w:w="858" w:type="pct"/>
                                  <w:vAlign w:val="center"/>
                                </w:tcPr>
                                <w:p w14:paraId="50BD95BC" w14:textId="01653358" w:rsidR="00A87AB3" w:rsidRPr="00F34088" w:rsidRDefault="00A87AB3" w:rsidP="00DF4357">
                                  <w:pPr>
                                    <w:spacing w:after="160" w:line="360" w:lineRule="auto"/>
                                    <w:jc w:val="right"/>
                                    <w:rPr>
                                      <w:sz w:val="16"/>
                                      <w:szCs w:val="18"/>
                                    </w:rPr>
                                  </w:pPr>
                                  <w:r w:rsidRPr="00F34088">
                                    <w:rPr>
                                      <w:sz w:val="16"/>
                                      <w:szCs w:val="18"/>
                                    </w:rPr>
                                    <w:t>€</w:t>
                                  </w:r>
                                  <w:r>
                                    <w:rPr>
                                      <w:sz w:val="16"/>
                                      <w:szCs w:val="18"/>
                                    </w:rPr>
                                    <w:t xml:space="preserve"> </w:t>
                                  </w:r>
                                  <w:r w:rsidRPr="00F34088">
                                    <w:rPr>
                                      <w:sz w:val="16"/>
                                      <w:szCs w:val="18"/>
                                    </w:rPr>
                                    <w:t>150</w:t>
                                  </w:r>
                                  <w:r>
                                    <w:rPr>
                                      <w:sz w:val="16"/>
                                      <w:szCs w:val="18"/>
                                    </w:rPr>
                                    <w:t>,</w:t>
                                  </w:r>
                                  <w:r w:rsidRPr="00F34088">
                                    <w:rPr>
                                      <w:sz w:val="16"/>
                                      <w:szCs w:val="18"/>
                                    </w:rPr>
                                    <w:t>000</w:t>
                                  </w:r>
                                </w:p>
                              </w:tc>
                              <w:tc>
                                <w:tcPr>
                                  <w:tcW w:w="991" w:type="pct"/>
                                  <w:vAlign w:val="center"/>
                                </w:tcPr>
                                <w:p w14:paraId="14262C02" w14:textId="226F784F" w:rsidR="00A87AB3" w:rsidRPr="00F34088" w:rsidRDefault="00A87AB3" w:rsidP="00DF4357">
                                  <w:pPr>
                                    <w:spacing w:after="160" w:line="259" w:lineRule="auto"/>
                                    <w:jc w:val="right"/>
                                    <w:rPr>
                                      <w:sz w:val="16"/>
                                      <w:szCs w:val="18"/>
                                    </w:rPr>
                                  </w:pPr>
                                  <w:r w:rsidRPr="00F34088">
                                    <w:rPr>
                                      <w:sz w:val="16"/>
                                      <w:szCs w:val="18"/>
                                    </w:rPr>
                                    <w:t>€</w:t>
                                  </w:r>
                                  <w:r>
                                    <w:rPr>
                                      <w:sz w:val="16"/>
                                      <w:szCs w:val="18"/>
                                    </w:rPr>
                                    <w:t xml:space="preserve"> </w:t>
                                  </w:r>
                                  <w:r w:rsidRPr="00F34088">
                                    <w:rPr>
                                      <w:sz w:val="16"/>
                                      <w:szCs w:val="18"/>
                                    </w:rPr>
                                    <w:t>1</w:t>
                                  </w:r>
                                  <w:r>
                                    <w:rPr>
                                      <w:sz w:val="16"/>
                                      <w:szCs w:val="18"/>
                                    </w:rPr>
                                    <w:t>,</w:t>
                                  </w:r>
                                  <w:r w:rsidRPr="00F34088">
                                    <w:rPr>
                                      <w:sz w:val="16"/>
                                      <w:szCs w:val="18"/>
                                    </w:rPr>
                                    <w:t>000</w:t>
                                  </w:r>
                                  <w:r>
                                    <w:rPr>
                                      <w:sz w:val="16"/>
                                      <w:szCs w:val="18"/>
                                    </w:rPr>
                                    <w:t>,</w:t>
                                  </w:r>
                                  <w:r w:rsidRPr="00F34088">
                                    <w:rPr>
                                      <w:sz w:val="16"/>
                                      <w:szCs w:val="18"/>
                                    </w:rPr>
                                    <w:t>000</w:t>
                                  </w:r>
                                </w:p>
                              </w:tc>
                            </w:tr>
                          </w:tbl>
                          <w:p w14:paraId="34AC0140" w14:textId="77777777" w:rsidR="00A87AB3" w:rsidRPr="00F34088" w:rsidRDefault="00A87AB3" w:rsidP="009F01EE">
                            <w:pPr>
                              <w:pStyle w:val="ListParagraph"/>
                              <w:numPr>
                                <w:ilvl w:val="0"/>
                                <w:numId w:val="28"/>
                              </w:numPr>
                              <w:rPr>
                                <w:sz w:val="16"/>
                                <w:szCs w:val="18"/>
                              </w:rPr>
                            </w:pPr>
                            <w:r w:rsidRPr="00F34088">
                              <w:rPr>
                                <w:sz w:val="16"/>
                                <w:szCs w:val="18"/>
                              </w:rPr>
                              <w:t>Co-financing for this programme is 15%</w:t>
                            </w:r>
                          </w:p>
                          <w:p w14:paraId="45B8B477" w14:textId="0DED86F3" w:rsidR="00A87AB3" w:rsidRPr="00F34088" w:rsidRDefault="00A87AB3" w:rsidP="009F01EE">
                            <w:pPr>
                              <w:pStyle w:val="ListParagraph"/>
                              <w:numPr>
                                <w:ilvl w:val="0"/>
                                <w:numId w:val="28"/>
                              </w:numPr>
                              <w:rPr>
                                <w:sz w:val="16"/>
                                <w:szCs w:val="18"/>
                              </w:rPr>
                            </w:pPr>
                            <w:r w:rsidRPr="00F34088">
                              <w:rPr>
                                <w:sz w:val="16"/>
                                <w:szCs w:val="18"/>
                              </w:rPr>
                              <w:t>Amount retained for final balance 10%: €</w:t>
                            </w:r>
                            <w:r>
                              <w:rPr>
                                <w:sz w:val="16"/>
                                <w:szCs w:val="18"/>
                              </w:rPr>
                              <w:t xml:space="preserve"> </w:t>
                            </w:r>
                            <w:r w:rsidRPr="00F34088">
                              <w:rPr>
                                <w:sz w:val="16"/>
                                <w:szCs w:val="18"/>
                              </w:rPr>
                              <w:t>100</w:t>
                            </w:r>
                            <w:r>
                              <w:rPr>
                                <w:sz w:val="16"/>
                                <w:szCs w:val="18"/>
                              </w:rPr>
                              <w:t>,</w:t>
                            </w:r>
                            <w:r w:rsidRPr="00F34088">
                              <w:rPr>
                                <w:sz w:val="16"/>
                                <w:szCs w:val="18"/>
                              </w:rPr>
                              <w:t>000</w:t>
                            </w:r>
                          </w:p>
                          <w:p w14:paraId="59F00641" w14:textId="6C5EDA5D" w:rsidR="00A87AB3" w:rsidRPr="00F34088" w:rsidRDefault="00A87AB3" w:rsidP="009F01EE">
                            <w:pPr>
                              <w:pStyle w:val="ListParagraph"/>
                              <w:numPr>
                                <w:ilvl w:val="0"/>
                                <w:numId w:val="28"/>
                              </w:numPr>
                              <w:rPr>
                                <w:sz w:val="16"/>
                                <w:szCs w:val="18"/>
                              </w:rPr>
                            </w:pPr>
                            <w:r w:rsidRPr="00F34088">
                              <w:rPr>
                                <w:sz w:val="16"/>
                                <w:szCs w:val="18"/>
                              </w:rPr>
                              <w:t xml:space="preserve">Until the Final Programme Report has been approved, the payments to the programme for </w:t>
                            </w:r>
                            <w:r>
                              <w:rPr>
                                <w:sz w:val="16"/>
                                <w:szCs w:val="18"/>
                              </w:rPr>
                              <w:t>p</w:t>
                            </w:r>
                            <w:r w:rsidRPr="00F34088">
                              <w:rPr>
                                <w:sz w:val="16"/>
                                <w:szCs w:val="18"/>
                              </w:rPr>
                              <w:t>rogramme management are limited to: €</w:t>
                            </w:r>
                            <w:r>
                              <w:rPr>
                                <w:sz w:val="16"/>
                                <w:szCs w:val="18"/>
                              </w:rPr>
                              <w:t xml:space="preserve"> </w:t>
                            </w:r>
                            <w:r w:rsidRPr="00F34088">
                              <w:rPr>
                                <w:sz w:val="16"/>
                                <w:szCs w:val="18"/>
                              </w:rPr>
                              <w:t>900</w:t>
                            </w:r>
                            <w:r>
                              <w:rPr>
                                <w:sz w:val="16"/>
                                <w:szCs w:val="18"/>
                              </w:rPr>
                              <w:t>,</w:t>
                            </w:r>
                            <w:r w:rsidRPr="00F34088">
                              <w:rPr>
                                <w:sz w:val="16"/>
                                <w:szCs w:val="18"/>
                              </w:rPr>
                              <w:t>000</w:t>
                            </w:r>
                          </w:p>
                          <w:p w14:paraId="682CE153" w14:textId="77777777" w:rsidR="00A87AB3" w:rsidRPr="00F34088" w:rsidRDefault="00A87AB3" w:rsidP="009F01EE">
                            <w:pPr>
                              <w:pStyle w:val="ListParagraph"/>
                              <w:numPr>
                                <w:ilvl w:val="0"/>
                                <w:numId w:val="28"/>
                              </w:numPr>
                              <w:rPr>
                                <w:sz w:val="16"/>
                                <w:szCs w:val="18"/>
                              </w:rPr>
                            </w:pPr>
                            <w:r w:rsidRPr="00F34088">
                              <w:rPr>
                                <w:sz w:val="16"/>
                                <w:szCs w:val="18"/>
                              </w:rPr>
                              <w:t>The 10% retention is not calculated over each advance and interim payment to the programme</w:t>
                            </w:r>
                          </w:p>
                          <w:p w14:paraId="1CCD14B5" w14:textId="77777777" w:rsidR="00A87AB3" w:rsidRPr="00F34088" w:rsidRDefault="00A87AB3">
                            <w:pPr>
                              <w:rPr>
                                <w:sz w:val="16"/>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6CC06" id="_x0000_s1041" type="#_x0000_t202" style="position:absolute;left:0;text-align:left;margin-left:4.5pt;margin-top:127.9pt;width:444.75pt;height:151.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">
                <v:textbox>
                  <w:txbxContent>
                    <w:p w14:paraId="137D7746" w14:textId="77777777" w:rsidR="00A87AB3" w:rsidRPr="00F34088" w:rsidRDefault="00A87AB3" w:rsidP="00222112">
                      <w:pPr>
                        <w:rPr>
                          <w:b/>
                          <w:sz w:val="16"/>
                          <w:szCs w:val="18"/>
                        </w:rPr>
                      </w:pPr>
                      <w:r w:rsidRPr="00F34088">
                        <w:rPr>
                          <w:b/>
                          <w:sz w:val="16"/>
                          <w:szCs w:val="18"/>
                        </w:rPr>
                        <w:t>Example:</w:t>
                      </w:r>
                    </w:p>
                    <w:p w14:paraId="4F556BC1" w14:textId="77777777" w:rsidR="00A87AB3" w:rsidRPr="00F34088" w:rsidRDefault="00A87AB3" w:rsidP="0049030C">
                      <w:pPr>
                        <w:pStyle w:val="Caption"/>
                        <w:rPr>
                          <w:sz w:val="16"/>
                        </w:rPr>
                      </w:pPr>
                      <w:bookmarkStart w:id="52" w:name="_Toc467246322"/>
                      <w:bookmarkStart w:id="53" w:name="_Toc484174867"/>
                      <w:r w:rsidRPr="00F34088">
                        <w:rPr>
                          <w:sz w:val="16"/>
                        </w:rPr>
                        <w:t xml:space="preserve">Table </w:t>
                      </w:r>
                      <w:r w:rsidRPr="00F34088">
                        <w:rPr>
                          <w:sz w:val="16"/>
                        </w:rPr>
                        <w:fldChar w:fldCharType="begin"/>
                      </w:r>
                      <w:r w:rsidRPr="00F34088">
                        <w:rPr>
                          <w:sz w:val="16"/>
                        </w:rPr>
                        <w:instrText xml:space="preserve"> SEQ Table \* ARABIC </w:instrText>
                      </w:r>
                      <w:r w:rsidRPr="00F34088">
                        <w:rPr>
                          <w:sz w:val="16"/>
                        </w:rPr>
                        <w:fldChar w:fldCharType="separate"/>
                      </w:r>
                      <w:r>
                        <w:rPr>
                          <w:noProof/>
                          <w:sz w:val="16"/>
                        </w:rPr>
                        <w:t>5</w:t>
                      </w:r>
                      <w:r w:rsidRPr="00F34088">
                        <w:rPr>
                          <w:noProof/>
                          <w:sz w:val="16"/>
                        </w:rPr>
                        <w:fldChar w:fldCharType="end"/>
                      </w:r>
                      <w:r w:rsidRPr="00F34088">
                        <w:rPr>
                          <w:sz w:val="16"/>
                        </w:rPr>
                        <w:t>: Management cost allocation</w:t>
                      </w:r>
                      <w:bookmarkEnd w:id="52"/>
                      <w:bookmarkEnd w:id="53"/>
                    </w:p>
                    <w:tbl>
                      <w:tblPr>
                        <w:tblStyle w:val="TableGrid"/>
                        <w:tblW w:w="4955" w:type="pct"/>
                        <w:tblLook w:val="04A0" w:firstRow="1" w:lastRow="0" w:firstColumn="1" w:lastColumn="0" w:noHBand="0" w:noVBand="1"/>
                      </w:tblPr>
                      <w:tblGrid>
                        <w:gridCol w:w="3460"/>
                        <w:gridCol w:w="1902"/>
                        <w:gridCol w:w="1460"/>
                        <w:gridCol w:w="1684"/>
                      </w:tblGrid>
                      <w:tr w:rsidR="00A87AB3" w:rsidRPr="00F34088" w14:paraId="3992B4F9" w14:textId="77777777" w:rsidTr="006C11C9">
                        <w:trPr>
                          <w:cnfStyle w:val="100000000000" w:firstRow="1" w:lastRow="0" w:firstColumn="0" w:lastColumn="0" w:oddVBand="0" w:evenVBand="0" w:oddHBand="0" w:evenHBand="0" w:firstRowFirstColumn="0" w:firstRowLastColumn="0" w:lastRowFirstColumn="0" w:lastRowLastColumn="0"/>
                          <w:trHeight w:hRule="exact" w:val="454"/>
                        </w:trPr>
                        <w:tc>
                          <w:tcPr>
                            <w:tcW w:w="2034" w:type="pct"/>
                            <w:vAlign w:val="center"/>
                          </w:tcPr>
                          <w:p w14:paraId="1B13B537" w14:textId="77777777" w:rsidR="00A87AB3" w:rsidRPr="00F34088" w:rsidRDefault="00A87AB3" w:rsidP="006C11C9">
                            <w:pPr>
                              <w:spacing w:after="160" w:line="259" w:lineRule="auto"/>
                              <w:jc w:val="center"/>
                              <w:rPr>
                                <w:b w:val="0"/>
                                <w:sz w:val="16"/>
                                <w:szCs w:val="18"/>
                              </w:rPr>
                            </w:pPr>
                            <w:r w:rsidRPr="00F34088">
                              <w:rPr>
                                <w:sz w:val="16"/>
                                <w:szCs w:val="18"/>
                              </w:rPr>
                              <w:t>Budget heading</w:t>
                            </w:r>
                          </w:p>
                        </w:tc>
                        <w:tc>
                          <w:tcPr>
                            <w:tcW w:w="1118" w:type="pct"/>
                            <w:vAlign w:val="center"/>
                          </w:tcPr>
                          <w:p w14:paraId="5E1BBA3F" w14:textId="77777777" w:rsidR="00A87AB3" w:rsidRPr="00F34088" w:rsidRDefault="00A87AB3" w:rsidP="006C11C9">
                            <w:pPr>
                              <w:spacing w:after="160" w:line="259" w:lineRule="auto"/>
                              <w:jc w:val="center"/>
                              <w:rPr>
                                <w:b w:val="0"/>
                                <w:sz w:val="16"/>
                                <w:szCs w:val="18"/>
                              </w:rPr>
                            </w:pPr>
                            <w:r w:rsidRPr="00F34088">
                              <w:rPr>
                                <w:sz w:val="16"/>
                                <w:szCs w:val="18"/>
                              </w:rPr>
                              <w:t>EEA/Norway</w:t>
                            </w:r>
                          </w:p>
                        </w:tc>
                        <w:tc>
                          <w:tcPr>
                            <w:tcW w:w="858" w:type="pct"/>
                            <w:vAlign w:val="center"/>
                          </w:tcPr>
                          <w:p w14:paraId="68C4F6B9" w14:textId="77777777" w:rsidR="00A87AB3" w:rsidRPr="00F34088" w:rsidRDefault="00A87AB3" w:rsidP="006C11C9">
                            <w:pPr>
                              <w:spacing w:after="160" w:line="259" w:lineRule="auto"/>
                              <w:jc w:val="center"/>
                              <w:rPr>
                                <w:b w:val="0"/>
                                <w:sz w:val="16"/>
                                <w:szCs w:val="18"/>
                              </w:rPr>
                            </w:pPr>
                            <w:r w:rsidRPr="00F34088">
                              <w:rPr>
                                <w:sz w:val="16"/>
                                <w:szCs w:val="18"/>
                              </w:rPr>
                              <w:t>Co-Fin</w:t>
                            </w:r>
                          </w:p>
                        </w:tc>
                        <w:tc>
                          <w:tcPr>
                            <w:tcW w:w="991" w:type="pct"/>
                            <w:vAlign w:val="center"/>
                          </w:tcPr>
                          <w:p w14:paraId="673A105D" w14:textId="77777777" w:rsidR="00A87AB3" w:rsidRPr="00F34088" w:rsidRDefault="00A87AB3" w:rsidP="006C11C9">
                            <w:pPr>
                              <w:spacing w:after="160" w:line="259" w:lineRule="auto"/>
                              <w:jc w:val="center"/>
                              <w:rPr>
                                <w:b w:val="0"/>
                                <w:sz w:val="16"/>
                                <w:szCs w:val="18"/>
                              </w:rPr>
                            </w:pPr>
                            <w:r w:rsidRPr="00F34088">
                              <w:rPr>
                                <w:sz w:val="16"/>
                                <w:szCs w:val="18"/>
                              </w:rPr>
                              <w:t>Total</w:t>
                            </w:r>
                          </w:p>
                        </w:tc>
                      </w:tr>
                      <w:tr w:rsidR="00A87AB3" w:rsidRPr="00F34088" w14:paraId="177312FC" w14:textId="77777777" w:rsidTr="006C11C9">
                        <w:trPr>
                          <w:trHeight w:hRule="exact" w:val="454"/>
                        </w:trPr>
                        <w:tc>
                          <w:tcPr>
                            <w:tcW w:w="2034" w:type="pct"/>
                            <w:vAlign w:val="center"/>
                          </w:tcPr>
                          <w:p w14:paraId="4C359198" w14:textId="77777777" w:rsidR="00A87AB3" w:rsidRPr="00F34088" w:rsidRDefault="00A87AB3" w:rsidP="006C11C9">
                            <w:pPr>
                              <w:spacing w:after="160" w:line="259" w:lineRule="auto"/>
                              <w:jc w:val="left"/>
                              <w:rPr>
                                <w:b/>
                                <w:sz w:val="16"/>
                                <w:szCs w:val="18"/>
                              </w:rPr>
                            </w:pPr>
                            <w:r w:rsidRPr="00F34088">
                              <w:rPr>
                                <w:sz w:val="16"/>
                                <w:szCs w:val="18"/>
                              </w:rPr>
                              <w:t>Programme Management</w:t>
                            </w:r>
                          </w:p>
                        </w:tc>
                        <w:tc>
                          <w:tcPr>
                            <w:tcW w:w="1118" w:type="pct"/>
                            <w:vAlign w:val="center"/>
                          </w:tcPr>
                          <w:p w14:paraId="3E1F4597" w14:textId="2967312A" w:rsidR="00A87AB3" w:rsidRPr="00F34088" w:rsidRDefault="00A87AB3" w:rsidP="00DF4357">
                            <w:pPr>
                              <w:spacing w:after="160" w:line="259" w:lineRule="auto"/>
                              <w:jc w:val="right"/>
                              <w:rPr>
                                <w:sz w:val="16"/>
                                <w:szCs w:val="18"/>
                              </w:rPr>
                            </w:pPr>
                            <w:r w:rsidRPr="00F34088">
                              <w:rPr>
                                <w:sz w:val="16"/>
                                <w:szCs w:val="18"/>
                              </w:rPr>
                              <w:t>€</w:t>
                            </w:r>
                            <w:r>
                              <w:rPr>
                                <w:sz w:val="16"/>
                                <w:szCs w:val="18"/>
                              </w:rPr>
                              <w:t xml:space="preserve"> </w:t>
                            </w:r>
                            <w:r w:rsidRPr="00F34088">
                              <w:rPr>
                                <w:sz w:val="16"/>
                                <w:szCs w:val="18"/>
                              </w:rPr>
                              <w:t>850</w:t>
                            </w:r>
                            <w:r>
                              <w:rPr>
                                <w:sz w:val="16"/>
                                <w:szCs w:val="18"/>
                              </w:rPr>
                              <w:t>,</w:t>
                            </w:r>
                            <w:r w:rsidRPr="00F34088">
                              <w:rPr>
                                <w:sz w:val="16"/>
                                <w:szCs w:val="18"/>
                              </w:rPr>
                              <w:t>000</w:t>
                            </w:r>
                          </w:p>
                        </w:tc>
                        <w:tc>
                          <w:tcPr>
                            <w:tcW w:w="858" w:type="pct"/>
                            <w:vAlign w:val="center"/>
                          </w:tcPr>
                          <w:p w14:paraId="50BD95BC" w14:textId="01653358" w:rsidR="00A87AB3" w:rsidRPr="00F34088" w:rsidRDefault="00A87AB3" w:rsidP="00DF4357">
                            <w:pPr>
                              <w:spacing w:after="160" w:line="360" w:lineRule="auto"/>
                              <w:jc w:val="right"/>
                              <w:rPr>
                                <w:sz w:val="16"/>
                                <w:szCs w:val="18"/>
                              </w:rPr>
                            </w:pPr>
                            <w:r w:rsidRPr="00F34088">
                              <w:rPr>
                                <w:sz w:val="16"/>
                                <w:szCs w:val="18"/>
                              </w:rPr>
                              <w:t>€</w:t>
                            </w:r>
                            <w:r>
                              <w:rPr>
                                <w:sz w:val="16"/>
                                <w:szCs w:val="18"/>
                              </w:rPr>
                              <w:t xml:space="preserve"> </w:t>
                            </w:r>
                            <w:r w:rsidRPr="00F34088">
                              <w:rPr>
                                <w:sz w:val="16"/>
                                <w:szCs w:val="18"/>
                              </w:rPr>
                              <w:t>150</w:t>
                            </w:r>
                            <w:r>
                              <w:rPr>
                                <w:sz w:val="16"/>
                                <w:szCs w:val="18"/>
                              </w:rPr>
                              <w:t>,</w:t>
                            </w:r>
                            <w:r w:rsidRPr="00F34088">
                              <w:rPr>
                                <w:sz w:val="16"/>
                                <w:szCs w:val="18"/>
                              </w:rPr>
                              <w:t>000</w:t>
                            </w:r>
                          </w:p>
                        </w:tc>
                        <w:tc>
                          <w:tcPr>
                            <w:tcW w:w="991" w:type="pct"/>
                            <w:vAlign w:val="center"/>
                          </w:tcPr>
                          <w:p w14:paraId="14262C02" w14:textId="226F784F" w:rsidR="00A87AB3" w:rsidRPr="00F34088" w:rsidRDefault="00A87AB3" w:rsidP="00DF4357">
                            <w:pPr>
                              <w:spacing w:after="160" w:line="259" w:lineRule="auto"/>
                              <w:jc w:val="right"/>
                              <w:rPr>
                                <w:sz w:val="16"/>
                                <w:szCs w:val="18"/>
                              </w:rPr>
                            </w:pPr>
                            <w:r w:rsidRPr="00F34088">
                              <w:rPr>
                                <w:sz w:val="16"/>
                                <w:szCs w:val="18"/>
                              </w:rPr>
                              <w:t>€</w:t>
                            </w:r>
                            <w:r>
                              <w:rPr>
                                <w:sz w:val="16"/>
                                <w:szCs w:val="18"/>
                              </w:rPr>
                              <w:t xml:space="preserve"> </w:t>
                            </w:r>
                            <w:r w:rsidRPr="00F34088">
                              <w:rPr>
                                <w:sz w:val="16"/>
                                <w:szCs w:val="18"/>
                              </w:rPr>
                              <w:t>1</w:t>
                            </w:r>
                            <w:r>
                              <w:rPr>
                                <w:sz w:val="16"/>
                                <w:szCs w:val="18"/>
                              </w:rPr>
                              <w:t>,</w:t>
                            </w:r>
                            <w:r w:rsidRPr="00F34088">
                              <w:rPr>
                                <w:sz w:val="16"/>
                                <w:szCs w:val="18"/>
                              </w:rPr>
                              <w:t>000</w:t>
                            </w:r>
                            <w:r>
                              <w:rPr>
                                <w:sz w:val="16"/>
                                <w:szCs w:val="18"/>
                              </w:rPr>
                              <w:t>,</w:t>
                            </w:r>
                            <w:r w:rsidRPr="00F34088">
                              <w:rPr>
                                <w:sz w:val="16"/>
                                <w:szCs w:val="18"/>
                              </w:rPr>
                              <w:t>000</w:t>
                            </w:r>
                          </w:p>
                        </w:tc>
                      </w:tr>
                    </w:tbl>
                    <w:p w14:paraId="34AC0140" w14:textId="77777777" w:rsidR="00A87AB3" w:rsidRPr="00F34088" w:rsidRDefault="00A87AB3" w:rsidP="009F01EE">
                      <w:pPr>
                        <w:pStyle w:val="ListParagraph"/>
                        <w:numPr>
                          <w:ilvl w:val="0"/>
                          <w:numId w:val="28"/>
                        </w:numPr>
                        <w:rPr>
                          <w:sz w:val="16"/>
                          <w:szCs w:val="18"/>
                        </w:rPr>
                      </w:pPr>
                      <w:r w:rsidRPr="00F34088">
                        <w:rPr>
                          <w:sz w:val="16"/>
                          <w:szCs w:val="18"/>
                        </w:rPr>
                        <w:t>Co-financing for this programme is 15%</w:t>
                      </w:r>
                    </w:p>
                    <w:p w14:paraId="45B8B477" w14:textId="0DED86F3" w:rsidR="00A87AB3" w:rsidRPr="00F34088" w:rsidRDefault="00A87AB3" w:rsidP="009F01EE">
                      <w:pPr>
                        <w:pStyle w:val="ListParagraph"/>
                        <w:numPr>
                          <w:ilvl w:val="0"/>
                          <w:numId w:val="28"/>
                        </w:numPr>
                        <w:rPr>
                          <w:sz w:val="16"/>
                          <w:szCs w:val="18"/>
                        </w:rPr>
                      </w:pPr>
                      <w:r w:rsidRPr="00F34088">
                        <w:rPr>
                          <w:sz w:val="16"/>
                          <w:szCs w:val="18"/>
                        </w:rPr>
                        <w:t>Amount retained for final balance 10%: €</w:t>
                      </w:r>
                      <w:r>
                        <w:rPr>
                          <w:sz w:val="16"/>
                          <w:szCs w:val="18"/>
                        </w:rPr>
                        <w:t xml:space="preserve"> </w:t>
                      </w:r>
                      <w:r w:rsidRPr="00F34088">
                        <w:rPr>
                          <w:sz w:val="16"/>
                          <w:szCs w:val="18"/>
                        </w:rPr>
                        <w:t>100</w:t>
                      </w:r>
                      <w:r>
                        <w:rPr>
                          <w:sz w:val="16"/>
                          <w:szCs w:val="18"/>
                        </w:rPr>
                        <w:t>,</w:t>
                      </w:r>
                      <w:r w:rsidRPr="00F34088">
                        <w:rPr>
                          <w:sz w:val="16"/>
                          <w:szCs w:val="18"/>
                        </w:rPr>
                        <w:t>000</w:t>
                      </w:r>
                    </w:p>
                    <w:p w14:paraId="59F00641" w14:textId="6C5EDA5D" w:rsidR="00A87AB3" w:rsidRPr="00F34088" w:rsidRDefault="00A87AB3" w:rsidP="009F01EE">
                      <w:pPr>
                        <w:pStyle w:val="ListParagraph"/>
                        <w:numPr>
                          <w:ilvl w:val="0"/>
                          <w:numId w:val="28"/>
                        </w:numPr>
                        <w:rPr>
                          <w:sz w:val="16"/>
                          <w:szCs w:val="18"/>
                        </w:rPr>
                      </w:pPr>
                      <w:r w:rsidRPr="00F34088">
                        <w:rPr>
                          <w:sz w:val="16"/>
                          <w:szCs w:val="18"/>
                        </w:rPr>
                        <w:t xml:space="preserve">Until the Final Programme Report has been approved, the payments to the programme for </w:t>
                      </w:r>
                      <w:r>
                        <w:rPr>
                          <w:sz w:val="16"/>
                          <w:szCs w:val="18"/>
                        </w:rPr>
                        <w:t>p</w:t>
                      </w:r>
                      <w:r w:rsidRPr="00F34088">
                        <w:rPr>
                          <w:sz w:val="16"/>
                          <w:szCs w:val="18"/>
                        </w:rPr>
                        <w:t>rogramme management are limited to: €</w:t>
                      </w:r>
                      <w:r>
                        <w:rPr>
                          <w:sz w:val="16"/>
                          <w:szCs w:val="18"/>
                        </w:rPr>
                        <w:t xml:space="preserve"> </w:t>
                      </w:r>
                      <w:r w:rsidRPr="00F34088">
                        <w:rPr>
                          <w:sz w:val="16"/>
                          <w:szCs w:val="18"/>
                        </w:rPr>
                        <w:t>900</w:t>
                      </w:r>
                      <w:r>
                        <w:rPr>
                          <w:sz w:val="16"/>
                          <w:szCs w:val="18"/>
                        </w:rPr>
                        <w:t>,</w:t>
                      </w:r>
                      <w:r w:rsidRPr="00F34088">
                        <w:rPr>
                          <w:sz w:val="16"/>
                          <w:szCs w:val="18"/>
                        </w:rPr>
                        <w:t>000</w:t>
                      </w:r>
                    </w:p>
                    <w:p w14:paraId="682CE153" w14:textId="77777777" w:rsidR="00A87AB3" w:rsidRPr="00F34088" w:rsidRDefault="00A87AB3" w:rsidP="009F01EE">
                      <w:pPr>
                        <w:pStyle w:val="ListParagraph"/>
                        <w:numPr>
                          <w:ilvl w:val="0"/>
                          <w:numId w:val="28"/>
                        </w:numPr>
                        <w:rPr>
                          <w:sz w:val="16"/>
                          <w:szCs w:val="18"/>
                        </w:rPr>
                      </w:pPr>
                      <w:r w:rsidRPr="00F34088">
                        <w:rPr>
                          <w:sz w:val="16"/>
                          <w:szCs w:val="18"/>
                        </w:rPr>
                        <w:t>The 10% retention is not calculated over each advance and interim payment to the programme</w:t>
                      </w:r>
                    </w:p>
                    <w:p w14:paraId="1CCD14B5" w14:textId="77777777" w:rsidR="00A87AB3" w:rsidRPr="00F34088" w:rsidRDefault="00A87AB3">
                      <w:pPr>
                        <w:rPr>
                          <w:sz w:val="16"/>
                          <w:szCs w:val="18"/>
                        </w:rPr>
                      </w:pPr>
                    </w:p>
                  </w:txbxContent>
                </v:textbox>
                <w10:wrap type="square"/>
              </v:shape>
            </w:pict>
          </mc:Fallback>
        </mc:AlternateContent>
      </w:r>
      <w:r w:rsidR="005D0B75" w:rsidRPr="009B7F14">
        <w:t xml:space="preserve">Payments to programmes will be made when all relevant conditions for payments stipulated in the </w:t>
      </w:r>
      <w:r w:rsidR="002B226E" w:rsidRPr="009B7F14">
        <w:t>PA</w:t>
      </w:r>
      <w:r w:rsidR="005D0B75" w:rsidRPr="009B7F14">
        <w:t xml:space="preserve"> and the Regulations have been fulfilled. Payments to programmes will be calculated by applying the co-financing rate laid down in the P</w:t>
      </w:r>
      <w:r w:rsidR="002B226E" w:rsidRPr="009B7F14">
        <w:t>A</w:t>
      </w:r>
      <w:r w:rsidR="005D0B75" w:rsidRPr="009B7F14">
        <w:rPr>
          <w:vertAlign w:val="superscript"/>
        </w:rPr>
        <w:footnoteReference w:id="9"/>
      </w:r>
      <w:r w:rsidR="005D0B75" w:rsidRPr="009B7F14">
        <w:t>.</w:t>
      </w:r>
      <w:r w:rsidR="005421D7" w:rsidRPr="009B7F14">
        <w:t xml:space="preserve"> The principle of pro rata financing shall apply, meaning that the payments of the programme grant from the FMO shall be matched within one month by payment from the entity or entities responsible for providing co-financing (Reg. Art. 9.1.5).</w:t>
      </w:r>
      <w:r w:rsidR="005D0B75" w:rsidRPr="009B7F14">
        <w:t xml:space="preserve"> Up to 10% of the management cost allocation to the programme </w:t>
      </w:r>
      <w:r w:rsidR="002C0499" w:rsidRPr="009B7F14">
        <w:t>may</w:t>
      </w:r>
      <w:r w:rsidR="005D0B75" w:rsidRPr="009B7F14">
        <w:t xml:space="preserve"> be retained until the </w:t>
      </w:r>
      <w:r w:rsidR="007A1507">
        <w:t>FPR</w:t>
      </w:r>
      <w:r w:rsidR="005D0B75" w:rsidRPr="009B7F14">
        <w:t xml:space="preserve"> has been approved by the FMO.</w:t>
      </w:r>
      <w:r w:rsidR="000230A5" w:rsidRPr="009B7F14">
        <w:t xml:space="preserve"> The 10% retention will be calculated over the total management cost allocation, not from the proposed management cost</w:t>
      </w:r>
      <w:r w:rsidR="004E3490">
        <w:t>s</w:t>
      </w:r>
      <w:r w:rsidR="000230A5" w:rsidRPr="009B7F14">
        <w:t xml:space="preserve"> within each IFR. </w:t>
      </w:r>
      <w:r w:rsidR="005D0B75" w:rsidRPr="009B7F14">
        <w:t xml:space="preserve"> </w:t>
      </w:r>
    </w:p>
    <w:p w14:paraId="3FD8BD0B" w14:textId="77777777" w:rsidR="005D0B75" w:rsidRPr="009B7F14" w:rsidRDefault="005D0B75" w:rsidP="00376576">
      <w:r w:rsidRPr="009B7F14">
        <w:t>Payments from the FMO to entities in the Beneficiary States will be denominated and carried out in euro.</w:t>
      </w:r>
      <w:r w:rsidR="000230A5" w:rsidRPr="009B7F14">
        <w:t xml:space="preserve"> The payments from the FMO shall be made available to the PO within 15 working days.</w:t>
      </w:r>
      <w:r w:rsidR="000230A5" w:rsidRPr="009B7F14">
        <w:rPr>
          <w:rStyle w:val="FootnoteReference"/>
        </w:rPr>
        <w:footnoteReference w:id="10"/>
      </w:r>
    </w:p>
    <w:p w14:paraId="78D930ED" w14:textId="229FA241" w:rsidR="007C79FB" w:rsidRPr="009B7F14" w:rsidRDefault="007C79FB" w:rsidP="00920571">
      <w:pPr>
        <w:pStyle w:val="Heading3"/>
      </w:pPr>
      <w:r w:rsidRPr="009B7F14">
        <w:t xml:space="preserve">Pre-financing model at the </w:t>
      </w:r>
      <w:r w:rsidR="00231058">
        <w:t>pr</w:t>
      </w:r>
      <w:r w:rsidRPr="009B7F14">
        <w:t>ogramme level</w:t>
      </w:r>
    </w:p>
    <w:p w14:paraId="3F36DD72" w14:textId="77777777" w:rsidR="007C79FB" w:rsidRPr="009B7F14" w:rsidRDefault="007C79FB" w:rsidP="00376576">
      <w:r w:rsidRPr="009B7F14">
        <w:t xml:space="preserve">The general rule is that the grants are paid out by the FMO in the form of advance instalments to PO on the basis of:  </w:t>
      </w:r>
    </w:p>
    <w:p w14:paraId="36DA473D" w14:textId="6C1F71A4" w:rsidR="007C79FB" w:rsidRPr="009B7F14" w:rsidRDefault="007C79FB" w:rsidP="009F01EE">
      <w:pPr>
        <w:pStyle w:val="ListParagraph"/>
        <w:numPr>
          <w:ilvl w:val="0"/>
          <w:numId w:val="24"/>
        </w:numPr>
      </w:pPr>
      <w:r w:rsidRPr="009B7F14">
        <w:t>Expendit</w:t>
      </w:r>
      <w:r w:rsidR="00254720">
        <w:t>ure incurred directly by the PO</w:t>
      </w:r>
    </w:p>
    <w:p w14:paraId="6EEBCD6B" w14:textId="725611B7" w:rsidR="007C79FB" w:rsidRPr="009B7F14" w:rsidRDefault="007C79FB" w:rsidP="009F01EE">
      <w:pPr>
        <w:pStyle w:val="ListParagraph"/>
        <w:numPr>
          <w:ilvl w:val="0"/>
          <w:numId w:val="24"/>
        </w:numPr>
      </w:pPr>
      <w:r w:rsidRPr="009B7F14">
        <w:t>Amounts paid to projects and effected by the PO in the form of bank tr</w:t>
      </w:r>
      <w:r w:rsidR="00254720">
        <w:t>ansfers; i.e. disbursed amounts</w:t>
      </w:r>
    </w:p>
    <w:p w14:paraId="67346F0A" w14:textId="76FECBE7" w:rsidR="007C79FB" w:rsidRPr="009B7F14" w:rsidRDefault="007C79FB" w:rsidP="009F01EE">
      <w:pPr>
        <w:pStyle w:val="ListParagraph"/>
        <w:numPr>
          <w:ilvl w:val="0"/>
          <w:numId w:val="24"/>
        </w:numPr>
      </w:pPr>
      <w:r w:rsidRPr="009B7F14">
        <w:t>The future cash needs of the PO, taking into account the funds previously received, reported incurred expenditure</w:t>
      </w:r>
      <w:r w:rsidR="00254720">
        <w:t xml:space="preserve"> and new pre-financing requests</w:t>
      </w:r>
      <w:r w:rsidRPr="009B7F14">
        <w:t xml:space="preserve"> </w:t>
      </w:r>
    </w:p>
    <w:p w14:paraId="6194C57F" w14:textId="77777777" w:rsidR="007C79FB" w:rsidRPr="009B7F14" w:rsidRDefault="007C79FB" w:rsidP="00376576">
      <w:r w:rsidRPr="009B7F14">
        <w:t>Amounts disbursed by the PO to projects should not be confused with incurred project expenditure.</w:t>
      </w:r>
    </w:p>
    <w:p w14:paraId="23698470" w14:textId="77777777" w:rsidR="00EA0104" w:rsidRPr="009B7F14" w:rsidRDefault="002B226E" w:rsidP="00920571">
      <w:pPr>
        <w:pStyle w:val="Heading3"/>
      </w:pPr>
      <w:r w:rsidRPr="009B7F14">
        <w:t xml:space="preserve">Advance payments </w:t>
      </w:r>
      <w:r w:rsidR="00E742CF" w:rsidRPr="009B7F14">
        <w:t>(</w:t>
      </w:r>
      <w:r w:rsidR="00324783" w:rsidRPr="009B7F14">
        <w:t xml:space="preserve">Reg. </w:t>
      </w:r>
      <w:r w:rsidR="00E742CF" w:rsidRPr="009B7F14">
        <w:t>Art. 9.2)</w:t>
      </w:r>
    </w:p>
    <w:p w14:paraId="220A745D" w14:textId="5D80884D" w:rsidR="005D0B75" w:rsidRPr="009B7F14" w:rsidRDefault="005D0B75" w:rsidP="00376576">
      <w:r w:rsidRPr="009B7F14">
        <w:t>The P</w:t>
      </w:r>
      <w:r w:rsidR="00895378" w:rsidRPr="009B7F14">
        <w:t>O</w:t>
      </w:r>
      <w:r w:rsidRPr="009B7F14">
        <w:t xml:space="preserve"> may receive an advance payment </w:t>
      </w:r>
      <w:r w:rsidR="004F151A" w:rsidRPr="009B7F14">
        <w:t xml:space="preserve">(Reg. </w:t>
      </w:r>
      <w:r w:rsidRPr="009B7F14">
        <w:t xml:space="preserve">Art. </w:t>
      </w:r>
      <w:r w:rsidR="002B226E" w:rsidRPr="009B7F14">
        <w:t>9</w:t>
      </w:r>
      <w:r w:rsidRPr="009B7F14">
        <w:t>.2</w:t>
      </w:r>
      <w:r w:rsidR="004F151A" w:rsidRPr="009B7F14">
        <w:t>)</w:t>
      </w:r>
      <w:r w:rsidRPr="009B7F14">
        <w:t>. An advance payment must be requested during the programme preparation phase and included in the P</w:t>
      </w:r>
      <w:r w:rsidR="007C79FB" w:rsidRPr="009B7F14">
        <w:t>A</w:t>
      </w:r>
      <w:r w:rsidRPr="009B7F14">
        <w:rPr>
          <w:vertAlign w:val="superscript"/>
        </w:rPr>
        <w:footnoteReference w:id="11"/>
      </w:r>
      <w:r w:rsidRPr="009B7F14">
        <w:t>. The amount of the advance shall be calculated as the</w:t>
      </w:r>
      <w:r w:rsidR="00624FD4" w:rsidRPr="009B7F14">
        <w:t xml:space="preserve"> part of the programme grant necessary to cover its</w:t>
      </w:r>
      <w:r w:rsidRPr="009B7F14">
        <w:t xml:space="preserve"> share of justified estimated programme expenditure from the first date of eligibility of the programme </w:t>
      </w:r>
      <w:r w:rsidR="00624FD4" w:rsidRPr="009B7F14">
        <w:t>until</w:t>
      </w:r>
      <w:r w:rsidRPr="009B7F14">
        <w:t xml:space="preserve"> the first interim payment is </w:t>
      </w:r>
      <w:r w:rsidR="00624FD4" w:rsidRPr="009B7F14">
        <w:t>due</w:t>
      </w:r>
      <w:r w:rsidRPr="009B7F14">
        <w:t>. The advance payment requested shall be broken down per budget heading</w:t>
      </w:r>
      <w:r w:rsidR="00A53ADA" w:rsidRPr="009B7F14">
        <w:t xml:space="preserve"> (see </w:t>
      </w:r>
      <w:r w:rsidR="00A53ADA" w:rsidRPr="009B7F14">
        <w:fldChar w:fldCharType="begin"/>
      </w:r>
      <w:r w:rsidR="00A53ADA" w:rsidRPr="009B7F14">
        <w:instrText xml:space="preserve"> REF _Ref462297798 \h </w:instrText>
      </w:r>
      <w:r w:rsidR="009B7F14">
        <w:instrText xml:space="preserve"> \* MERGEFORMAT </w:instrText>
      </w:r>
      <w:r w:rsidR="00A53ADA" w:rsidRPr="009B7F14">
        <w:fldChar w:fldCharType="separate"/>
      </w:r>
      <w:r w:rsidR="00215E29" w:rsidRPr="009B7F14">
        <w:t xml:space="preserve">Table </w:t>
      </w:r>
      <w:r w:rsidR="00215E29">
        <w:rPr>
          <w:noProof/>
        </w:rPr>
        <w:t>1</w:t>
      </w:r>
      <w:r w:rsidR="00A53ADA" w:rsidRPr="009B7F14">
        <w:fldChar w:fldCharType="end"/>
      </w:r>
      <w:r w:rsidR="00A41B90" w:rsidRPr="009B7F14">
        <w:t>)</w:t>
      </w:r>
      <w:r w:rsidRPr="009B7F14">
        <w:t xml:space="preserve"> and a justification shall be provided. </w:t>
      </w:r>
    </w:p>
    <w:p w14:paraId="061EC5B1" w14:textId="77777777" w:rsidR="00EA0104" w:rsidRPr="009B7F14" w:rsidRDefault="002B226E" w:rsidP="00920571">
      <w:pPr>
        <w:pStyle w:val="Heading3"/>
      </w:pPr>
      <w:r w:rsidRPr="009B7F14">
        <w:t xml:space="preserve">Interim payments </w:t>
      </w:r>
      <w:r w:rsidR="00E742CF" w:rsidRPr="009B7F14">
        <w:t>(</w:t>
      </w:r>
      <w:r w:rsidR="00324783" w:rsidRPr="009B7F14">
        <w:t xml:space="preserve">Reg. </w:t>
      </w:r>
      <w:r w:rsidR="00E742CF" w:rsidRPr="009B7F14">
        <w:t>Art. 9.3)</w:t>
      </w:r>
    </w:p>
    <w:p w14:paraId="6592C9BA" w14:textId="77777777" w:rsidR="00D93E97" w:rsidRPr="009B7F14" w:rsidRDefault="005D0B75" w:rsidP="00376576">
      <w:r w:rsidRPr="009B7F14">
        <w:t>Interim payments shall be paid based on Interim Financial Reports (IFRs) submitted by the P</w:t>
      </w:r>
      <w:r w:rsidR="00895378" w:rsidRPr="009B7F14">
        <w:t>O</w:t>
      </w:r>
      <w:r w:rsidRPr="009B7F14">
        <w:t xml:space="preserve">, certified by the </w:t>
      </w:r>
      <w:r w:rsidR="00284FB3" w:rsidRPr="009B7F14">
        <w:t>CA</w:t>
      </w:r>
      <w:r w:rsidRPr="009B7F14">
        <w:t>, and approved by t</w:t>
      </w:r>
      <w:r w:rsidR="002B226E" w:rsidRPr="009B7F14">
        <w:t xml:space="preserve">he FMO </w:t>
      </w:r>
      <w:r w:rsidR="00324783" w:rsidRPr="009B7F14">
        <w:t>(Reg. Art. 9.3)</w:t>
      </w:r>
      <w:r w:rsidRPr="009B7F14">
        <w:t xml:space="preserve"> as shown below. </w:t>
      </w:r>
      <w:r w:rsidR="00D551BF" w:rsidRPr="009B7F14">
        <w:t xml:space="preserve">Furthermore, the FMO may also </w:t>
      </w:r>
      <w:r w:rsidR="00FC5E76" w:rsidRPr="009B7F14">
        <w:t xml:space="preserve">modify </w:t>
      </w:r>
      <w:r w:rsidR="00D551BF" w:rsidRPr="009B7F14">
        <w:t xml:space="preserve">the </w:t>
      </w:r>
      <w:r w:rsidR="00FC5E76" w:rsidRPr="009B7F14">
        <w:t>amount of the interim payment if the proposed expenditure is considered to be unjustified</w:t>
      </w:r>
      <w:r w:rsidR="00D551BF" w:rsidRPr="009B7F14">
        <w:t xml:space="preserve">. </w:t>
      </w:r>
      <w:r w:rsidRPr="009B7F14">
        <w:t>After the IFR has been approved by the FMO, the payment will be processed and transferred to the CA who then transfers the funds to the P</w:t>
      </w:r>
      <w:r w:rsidR="00895378" w:rsidRPr="009B7F14">
        <w:t>O</w:t>
      </w:r>
      <w:r w:rsidRPr="009B7F14">
        <w:t>.</w:t>
      </w:r>
    </w:p>
    <w:p w14:paraId="4B51C7C6" w14:textId="77777777" w:rsidR="005D0B75" w:rsidRPr="009B7F14" w:rsidRDefault="005D0B75" w:rsidP="00376576">
      <w:pPr>
        <w:spacing w:before="240"/>
      </w:pPr>
      <w:r w:rsidRPr="009B7F14">
        <w:t>A</w:t>
      </w:r>
      <w:r w:rsidR="00786D68">
        <w:t xml:space="preserve">n information system </w:t>
      </w:r>
      <w:r w:rsidRPr="009B7F14">
        <w:t>will allow P</w:t>
      </w:r>
      <w:r w:rsidR="00895378" w:rsidRPr="009B7F14">
        <w:t>O</w:t>
      </w:r>
      <w:r w:rsidRPr="009B7F14">
        <w:t xml:space="preserve"> to submit </w:t>
      </w:r>
      <w:r w:rsidR="00895378" w:rsidRPr="009B7F14">
        <w:t>IFRs</w:t>
      </w:r>
      <w:r w:rsidRPr="009B7F14">
        <w:t>, as well as C</w:t>
      </w:r>
      <w:r w:rsidR="002B226E" w:rsidRPr="009B7F14">
        <w:t>A</w:t>
      </w:r>
      <w:r w:rsidRPr="009B7F14">
        <w:t>s to certify reports. Each report will be customised to the specific programme, i.e. the report will contain programme specific data, such as contact details of the P</w:t>
      </w:r>
      <w:r w:rsidR="00895378" w:rsidRPr="009B7F14">
        <w:t>O</w:t>
      </w:r>
      <w:r w:rsidRPr="009B7F14">
        <w:t xml:space="preserve">, financial information from previously submitted reports, applicable exchange rate, etc. The interface will provide all necessary explanations and guide to </w:t>
      </w:r>
      <w:r w:rsidR="003134A1" w:rsidRPr="009B7F14">
        <w:t>PO</w:t>
      </w:r>
      <w:r w:rsidRPr="009B7F14">
        <w:t>s through all steps of completing and submitting the report</w:t>
      </w:r>
      <w:r w:rsidRPr="009B7F14">
        <w:rPr>
          <w:vertAlign w:val="superscript"/>
        </w:rPr>
        <w:footnoteReference w:id="12"/>
      </w:r>
      <w:r w:rsidRPr="009B7F14">
        <w:t>.</w:t>
      </w:r>
    </w:p>
    <w:p w14:paraId="1B69E3A7" w14:textId="77777777" w:rsidR="005D0B75" w:rsidRPr="009B7F14" w:rsidRDefault="005D0B75" w:rsidP="00376576">
      <w:r w:rsidRPr="009B7F14">
        <w:t>Reports shall be submitted with a pre-defined frequency, covering two reporting periods in each calendar year:</w:t>
      </w:r>
    </w:p>
    <w:p w14:paraId="484F46A6" w14:textId="0B3FC5B4" w:rsidR="005D0B75" w:rsidRPr="009B7F14" w:rsidRDefault="005D0B75" w:rsidP="009F01EE">
      <w:pPr>
        <w:pStyle w:val="ListParagraph"/>
        <w:numPr>
          <w:ilvl w:val="0"/>
          <w:numId w:val="17"/>
        </w:numPr>
      </w:pPr>
      <w:r w:rsidRPr="009B7F14">
        <w:t>1 January – 30 June for actual expenditure incurred and 1 November – 30 April for proposed expenditure, with a deadline for submission to the FMO on 15 September for pa</w:t>
      </w:r>
      <w:r w:rsidR="00254720">
        <w:t>yments to be made by 15 October</w:t>
      </w:r>
    </w:p>
    <w:p w14:paraId="24562500" w14:textId="4009E62D" w:rsidR="005D0B75" w:rsidRPr="009B7F14" w:rsidRDefault="005D0B75" w:rsidP="009F01EE">
      <w:pPr>
        <w:pStyle w:val="ListParagraph"/>
        <w:numPr>
          <w:ilvl w:val="0"/>
          <w:numId w:val="17"/>
        </w:numPr>
      </w:pPr>
      <w:r w:rsidRPr="009B7F14">
        <w:t xml:space="preserve">1 July – 31 December for actual expenditure incurred and 1 May - 31 October for proposed expenditure, with a deadline for submission to the FMO on 15 March for </w:t>
      </w:r>
      <w:r w:rsidR="00254720">
        <w:t>payments to be made by 15 April</w:t>
      </w:r>
    </w:p>
    <w:p w14:paraId="2EDE9229" w14:textId="77777777" w:rsidR="00B033FD" w:rsidRDefault="005D0B75" w:rsidP="00376576">
      <w:r w:rsidRPr="009B7F14">
        <w:t xml:space="preserve">The purpose of the IFR is </w:t>
      </w:r>
      <w:r w:rsidR="00B0161F" w:rsidRPr="009B7F14">
        <w:t>threefold</w:t>
      </w:r>
      <w:r w:rsidRPr="009B7F14">
        <w:t>. Firstly, the P</w:t>
      </w:r>
      <w:r w:rsidR="007A4DEF" w:rsidRPr="009B7F14">
        <w:t>O</w:t>
      </w:r>
      <w:r w:rsidRPr="009B7F14">
        <w:t xml:space="preserve"> shall provide a statement of actual expenditure incurred for the reporting period preceding the submission d</w:t>
      </w:r>
      <w:r w:rsidR="00673716" w:rsidRPr="009B7F14">
        <w:t>eadline</w:t>
      </w:r>
      <w:r w:rsidRPr="009B7F14">
        <w:t xml:space="preserve"> of the report (i.e. if the submission deadline is 15 September, reporting shall cover the period 1 January – 30 June). All amounts in this section shall be denominated in local currency and will be automatically converted to euro, by using the monthly accounting exchange rate of the European Commission in the month during which the expenditure was registered in the accounts of </w:t>
      </w:r>
      <w:r w:rsidR="002B226E" w:rsidRPr="009B7F14">
        <w:t>the PO</w:t>
      </w:r>
      <w:r w:rsidRPr="009B7F14">
        <w:t xml:space="preserve"> of the programme concerned.</w:t>
      </w:r>
    </w:p>
    <w:p w14:paraId="17D62A8C" w14:textId="2B9A0C08" w:rsidR="005D0B75" w:rsidRPr="009B7F14" w:rsidRDefault="00B033FD" w:rsidP="00376576">
      <w:r w:rsidRPr="00B033FD">
        <w:rPr>
          <w:noProof/>
          <w:lang w:eastAsia="en-GB"/>
        </w:rPr>
        <w:t xml:space="preserve"> </w:t>
      </w:r>
      <w:r w:rsidRPr="009B7F14">
        <w:rPr>
          <w:noProof/>
          <w:lang w:eastAsia="en-GB"/>
        </w:rPr>
        <w:drawing>
          <wp:inline distT="0" distB="0" distL="0" distR="0" wp14:anchorId="4A6499B0" wp14:editId="1068C26B">
            <wp:extent cx="5575300" cy="3481070"/>
            <wp:effectExtent l="0" t="0" r="6350" b="5080"/>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5300" cy="3481070"/>
                    </a:xfrm>
                    <a:prstGeom prst="rect">
                      <a:avLst/>
                    </a:prstGeom>
                    <a:noFill/>
                  </pic:spPr>
                </pic:pic>
              </a:graphicData>
            </a:graphic>
          </wp:inline>
        </w:drawing>
      </w:r>
    </w:p>
    <w:p w14:paraId="64AB9997" w14:textId="15ABC1A7" w:rsidR="00147D69" w:rsidRDefault="0095346A" w:rsidP="00376576">
      <w:r w:rsidRPr="009B7F14">
        <w:rPr>
          <w:noProof/>
          <w:lang w:eastAsia="en-GB"/>
        </w:rPr>
        <mc:AlternateContent>
          <mc:Choice Requires="wps">
            <w:drawing>
              <wp:anchor distT="45720" distB="45720" distL="114300" distR="114300" simplePos="0" relativeHeight="251680768" behindDoc="0" locked="0" layoutInCell="1" allowOverlap="1" wp14:anchorId="6432DB70" wp14:editId="3B66921B">
                <wp:simplePos x="0" y="0"/>
                <wp:positionH relativeFrom="column">
                  <wp:posOffset>166370</wp:posOffset>
                </wp:positionH>
                <wp:positionV relativeFrom="paragraph">
                  <wp:posOffset>1239520</wp:posOffset>
                </wp:positionV>
                <wp:extent cx="5399405" cy="2814320"/>
                <wp:effectExtent l="0" t="0" r="10795" b="2413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9405" cy="2814320"/>
                        </a:xfrm>
                        <a:prstGeom prst="rect">
                          <a:avLst/>
                        </a:prstGeom>
                        <a:solidFill>
                          <a:schemeClr val="bg1"/>
                        </a:solidFill>
                        <a:ln w="9525">
                          <a:solidFill>
                            <a:schemeClr val="tx1"/>
                          </a:solidFill>
                          <a:miter lim="800000"/>
                          <a:headEnd/>
                          <a:tailEnd/>
                        </a:ln>
                      </wps:spPr>
                      <wps:txbx>
                        <w:txbxContent>
                          <w:p w14:paraId="52D0424B" w14:textId="77777777" w:rsidR="00A87AB3" w:rsidRPr="00ED13FE" w:rsidRDefault="00A87AB3" w:rsidP="00F54271">
                            <w:pPr>
                              <w:rPr>
                                <w:b/>
                                <w:sz w:val="18"/>
                                <w:szCs w:val="18"/>
                              </w:rPr>
                            </w:pPr>
                            <w:r w:rsidRPr="00ED13FE">
                              <w:rPr>
                                <w:b/>
                                <w:sz w:val="18"/>
                                <w:szCs w:val="18"/>
                              </w:rPr>
                              <w:t>Example:</w:t>
                            </w:r>
                          </w:p>
                          <w:p w14:paraId="1A8C23AC" w14:textId="77777777" w:rsidR="00A87AB3" w:rsidRPr="00ED13FE" w:rsidRDefault="00A87AB3" w:rsidP="0049030C">
                            <w:pPr>
                              <w:pStyle w:val="Caption"/>
                            </w:pPr>
                            <w:bookmarkStart w:id="54" w:name="_Toc467246323"/>
                            <w:bookmarkStart w:id="55" w:name="_Toc484174868"/>
                            <w:r w:rsidRPr="00ED13FE">
                              <w:t xml:space="preserve">Table </w:t>
                            </w:r>
                            <w:r w:rsidR="00DE4338">
                              <w:fldChar w:fldCharType="begin"/>
                            </w:r>
                            <w:r w:rsidR="00DE4338">
                              <w:instrText xml:space="preserve"> SEQ Table \* ARABIC </w:instrText>
                            </w:r>
                            <w:r w:rsidR="00DE4338">
                              <w:fldChar w:fldCharType="separate"/>
                            </w:r>
                            <w:r>
                              <w:rPr>
                                <w:noProof/>
                              </w:rPr>
                              <w:t>6</w:t>
                            </w:r>
                            <w:r w:rsidR="00DE4338">
                              <w:rPr>
                                <w:noProof/>
                              </w:rPr>
                              <w:fldChar w:fldCharType="end"/>
                            </w:r>
                            <w:r w:rsidRPr="00ED13FE">
                              <w:t>: Cash Balance Calculation</w:t>
                            </w:r>
                            <w:bookmarkEnd w:id="54"/>
                            <w:bookmarkEnd w:id="55"/>
                          </w:p>
                          <w:tbl>
                            <w:tblPr>
                              <w:tblStyle w:val="TableGrid"/>
                              <w:tblW w:w="5000" w:type="pct"/>
                              <w:tblLook w:val="04A0" w:firstRow="1" w:lastRow="0" w:firstColumn="1" w:lastColumn="0" w:noHBand="0" w:noVBand="1"/>
                            </w:tblPr>
                            <w:tblGrid>
                              <w:gridCol w:w="6564"/>
                              <w:gridCol w:w="1627"/>
                            </w:tblGrid>
                            <w:tr w:rsidR="00A87AB3" w:rsidRPr="00ED13FE" w14:paraId="1B7E4255" w14:textId="77777777" w:rsidTr="00D56C8D">
                              <w:trPr>
                                <w:cnfStyle w:val="100000000000" w:firstRow="1" w:lastRow="0" w:firstColumn="0" w:lastColumn="0" w:oddVBand="0" w:evenVBand="0" w:oddHBand="0" w:evenHBand="0" w:firstRowFirstColumn="0" w:firstRowLastColumn="0" w:lastRowFirstColumn="0" w:lastRowLastColumn="0"/>
                                <w:trHeight w:val="246"/>
                              </w:trPr>
                              <w:tc>
                                <w:tcPr>
                                  <w:tcW w:w="5000" w:type="pct"/>
                                  <w:gridSpan w:val="2"/>
                                  <w:vAlign w:val="center"/>
                                </w:tcPr>
                                <w:p w14:paraId="1555F029" w14:textId="77777777" w:rsidR="00A87AB3" w:rsidRDefault="00A87AB3" w:rsidP="00D56C8D">
                                  <w:pPr>
                                    <w:tabs>
                                      <w:tab w:val="left" w:pos="5415"/>
                                    </w:tabs>
                                    <w:jc w:val="center"/>
                                    <w:rPr>
                                      <w:sz w:val="18"/>
                                      <w:szCs w:val="18"/>
                                    </w:rPr>
                                  </w:pPr>
                                  <w:r w:rsidRPr="00ED13FE">
                                    <w:rPr>
                                      <w:sz w:val="18"/>
                                      <w:szCs w:val="18"/>
                                    </w:rPr>
                                    <w:t>Cash Balance Calculation : 15 September IFR</w:t>
                                  </w:r>
                                </w:p>
                                <w:p w14:paraId="0D414199" w14:textId="0DEC0392" w:rsidR="00A87AB3" w:rsidRPr="00EF3B6D" w:rsidRDefault="00A87AB3" w:rsidP="00D56C8D">
                                  <w:pPr>
                                    <w:tabs>
                                      <w:tab w:val="left" w:pos="5415"/>
                                    </w:tabs>
                                    <w:jc w:val="center"/>
                                    <w:rPr>
                                      <w:b w:val="0"/>
                                      <w:i/>
                                      <w:sz w:val="18"/>
                                      <w:szCs w:val="18"/>
                                    </w:rPr>
                                  </w:pPr>
                                </w:p>
                              </w:tc>
                            </w:tr>
                            <w:tr w:rsidR="00A87AB3" w:rsidRPr="00ED13FE" w14:paraId="167B0574" w14:textId="77777777" w:rsidTr="00D56C8D">
                              <w:trPr>
                                <w:trHeight w:val="233"/>
                              </w:trPr>
                              <w:tc>
                                <w:tcPr>
                                  <w:tcW w:w="4007" w:type="pct"/>
                                  <w:vAlign w:val="center"/>
                                </w:tcPr>
                                <w:p w14:paraId="55C36FC0" w14:textId="77777777" w:rsidR="00A87AB3" w:rsidRPr="00ED13FE" w:rsidRDefault="00A87AB3" w:rsidP="00D56C8D">
                                  <w:pPr>
                                    <w:tabs>
                                      <w:tab w:val="left" w:pos="5415"/>
                                    </w:tabs>
                                    <w:jc w:val="left"/>
                                    <w:rPr>
                                      <w:b/>
                                      <w:sz w:val="18"/>
                                      <w:szCs w:val="18"/>
                                    </w:rPr>
                                  </w:pPr>
                                  <w:r w:rsidRPr="00ED13FE">
                                    <w:rPr>
                                      <w:sz w:val="18"/>
                                      <w:szCs w:val="18"/>
                                    </w:rPr>
                                    <w:t>Forecasted eligible expenditure for the next reporting period (1 November - 30 April)</w:t>
                                  </w:r>
                                </w:p>
                              </w:tc>
                              <w:tc>
                                <w:tcPr>
                                  <w:tcW w:w="993" w:type="pct"/>
                                  <w:vAlign w:val="center"/>
                                </w:tcPr>
                                <w:p w14:paraId="45A2ED6B" w14:textId="026CF5C9" w:rsidR="00A87AB3" w:rsidRPr="00ED13FE" w:rsidRDefault="00A87AB3" w:rsidP="00A87AB3">
                                  <w:pPr>
                                    <w:tabs>
                                      <w:tab w:val="left" w:pos="5415"/>
                                    </w:tabs>
                                    <w:jc w:val="center"/>
                                    <w:rPr>
                                      <w:sz w:val="18"/>
                                      <w:szCs w:val="18"/>
                                    </w:rPr>
                                  </w:pPr>
                                  <w:r>
                                    <w:rPr>
                                      <w:sz w:val="18"/>
                                      <w:szCs w:val="18"/>
                                    </w:rPr>
                                    <w:t xml:space="preserve">+ </w:t>
                                  </w:r>
                                  <w:r>
                                    <w:t>€</w:t>
                                  </w:r>
                                  <w:r>
                                    <w:rPr>
                                      <w:sz w:val="18"/>
                                      <w:szCs w:val="18"/>
                                    </w:rPr>
                                    <w:t xml:space="preserve"> </w:t>
                                  </w:r>
                                  <w:r w:rsidRPr="00ED13FE">
                                    <w:rPr>
                                      <w:sz w:val="18"/>
                                      <w:szCs w:val="18"/>
                                    </w:rPr>
                                    <w:t>800</w:t>
                                  </w:r>
                                  <w:r>
                                    <w:rPr>
                                      <w:sz w:val="18"/>
                                      <w:szCs w:val="18"/>
                                    </w:rPr>
                                    <w:t>,</w:t>
                                  </w:r>
                                  <w:r w:rsidRPr="00ED13FE">
                                    <w:rPr>
                                      <w:sz w:val="18"/>
                                      <w:szCs w:val="18"/>
                                    </w:rPr>
                                    <w:t>000</w:t>
                                  </w:r>
                                </w:p>
                              </w:tc>
                            </w:tr>
                            <w:tr w:rsidR="00A87AB3" w:rsidRPr="00ED13FE" w14:paraId="06FD1085" w14:textId="77777777" w:rsidTr="00D56C8D">
                              <w:trPr>
                                <w:trHeight w:val="246"/>
                              </w:trPr>
                              <w:tc>
                                <w:tcPr>
                                  <w:tcW w:w="4007" w:type="pct"/>
                                  <w:vAlign w:val="center"/>
                                </w:tcPr>
                                <w:p w14:paraId="088CF5FB" w14:textId="77777777" w:rsidR="00A87AB3" w:rsidRPr="00ED13FE" w:rsidRDefault="00A87AB3" w:rsidP="00D56C8D">
                                  <w:pPr>
                                    <w:tabs>
                                      <w:tab w:val="left" w:pos="5415"/>
                                    </w:tabs>
                                    <w:jc w:val="left"/>
                                    <w:rPr>
                                      <w:b/>
                                      <w:sz w:val="18"/>
                                      <w:szCs w:val="18"/>
                                    </w:rPr>
                                  </w:pPr>
                                  <w:r w:rsidRPr="00ED13FE">
                                    <w:rPr>
                                      <w:sz w:val="18"/>
                                      <w:szCs w:val="18"/>
                                    </w:rPr>
                                    <w:t xml:space="preserve">    - Previously proposed eligible expenditure till 31 October   </w:t>
                                  </w:r>
                                </w:p>
                              </w:tc>
                              <w:tc>
                                <w:tcPr>
                                  <w:tcW w:w="993" w:type="pct"/>
                                  <w:vAlign w:val="center"/>
                                </w:tcPr>
                                <w:p w14:paraId="22C55290" w14:textId="291DC51C" w:rsidR="00A87AB3" w:rsidRPr="00ED13FE" w:rsidRDefault="00A87AB3" w:rsidP="00DF4357">
                                  <w:pPr>
                                    <w:tabs>
                                      <w:tab w:val="left" w:pos="5415"/>
                                    </w:tabs>
                                    <w:jc w:val="right"/>
                                    <w:rPr>
                                      <w:sz w:val="18"/>
                                      <w:szCs w:val="18"/>
                                    </w:rPr>
                                  </w:pPr>
                                  <w:r>
                                    <w:rPr>
                                      <w:sz w:val="18"/>
                                      <w:szCs w:val="18"/>
                                    </w:rPr>
                                    <w:t xml:space="preserve">- € </w:t>
                                  </w:r>
                                  <w:r w:rsidRPr="00ED13FE">
                                    <w:rPr>
                                      <w:sz w:val="18"/>
                                      <w:szCs w:val="18"/>
                                    </w:rPr>
                                    <w:t>1</w:t>
                                  </w:r>
                                  <w:r>
                                    <w:rPr>
                                      <w:sz w:val="18"/>
                                      <w:szCs w:val="18"/>
                                    </w:rPr>
                                    <w:t>,</w:t>
                                  </w:r>
                                  <w:r w:rsidRPr="00ED13FE">
                                    <w:rPr>
                                      <w:sz w:val="18"/>
                                      <w:szCs w:val="18"/>
                                    </w:rPr>
                                    <w:t>000</w:t>
                                  </w:r>
                                  <w:r>
                                    <w:rPr>
                                      <w:sz w:val="18"/>
                                      <w:szCs w:val="18"/>
                                    </w:rPr>
                                    <w:t>,</w:t>
                                  </w:r>
                                  <w:r w:rsidRPr="00ED13FE">
                                    <w:rPr>
                                      <w:sz w:val="18"/>
                                      <w:szCs w:val="18"/>
                                    </w:rPr>
                                    <w:t>000</w:t>
                                  </w:r>
                                </w:p>
                              </w:tc>
                            </w:tr>
                            <w:tr w:rsidR="00A87AB3" w:rsidRPr="00ED13FE" w14:paraId="1871111A" w14:textId="77777777" w:rsidTr="00D56C8D">
                              <w:trPr>
                                <w:trHeight w:val="233"/>
                              </w:trPr>
                              <w:tc>
                                <w:tcPr>
                                  <w:tcW w:w="4007" w:type="pct"/>
                                  <w:vAlign w:val="center"/>
                                </w:tcPr>
                                <w:p w14:paraId="356F6641" w14:textId="77777777" w:rsidR="00A87AB3" w:rsidRPr="00ED13FE" w:rsidRDefault="00A87AB3" w:rsidP="00D56C8D">
                                  <w:pPr>
                                    <w:tabs>
                                      <w:tab w:val="left" w:pos="5415"/>
                                    </w:tabs>
                                    <w:jc w:val="left"/>
                                    <w:rPr>
                                      <w:b/>
                                      <w:sz w:val="18"/>
                                      <w:szCs w:val="18"/>
                                    </w:rPr>
                                  </w:pPr>
                                  <w:r w:rsidRPr="00ED13FE">
                                    <w:rPr>
                                      <w:sz w:val="18"/>
                                      <w:szCs w:val="18"/>
                                    </w:rPr>
                                    <w:t xml:space="preserve">    + Total incurred eligible expenditure reported till 30 June</w:t>
                                  </w:r>
                                </w:p>
                              </w:tc>
                              <w:tc>
                                <w:tcPr>
                                  <w:tcW w:w="993" w:type="pct"/>
                                  <w:vAlign w:val="center"/>
                                </w:tcPr>
                                <w:p w14:paraId="0DB29E56" w14:textId="761F99A3" w:rsidR="00A87AB3" w:rsidRPr="00ED13FE" w:rsidRDefault="00A87AB3" w:rsidP="00DF4357">
                                  <w:pPr>
                                    <w:tabs>
                                      <w:tab w:val="left" w:pos="5415"/>
                                    </w:tabs>
                                    <w:jc w:val="right"/>
                                    <w:rPr>
                                      <w:sz w:val="18"/>
                                      <w:szCs w:val="18"/>
                                    </w:rPr>
                                  </w:pPr>
                                  <w:r>
                                    <w:rPr>
                                      <w:sz w:val="18"/>
                                      <w:szCs w:val="18"/>
                                    </w:rPr>
                                    <w:t xml:space="preserve">+  € </w:t>
                                  </w:r>
                                  <w:r w:rsidRPr="00ED13FE">
                                    <w:rPr>
                                      <w:sz w:val="18"/>
                                      <w:szCs w:val="18"/>
                                    </w:rPr>
                                    <w:t>600</w:t>
                                  </w:r>
                                  <w:r>
                                    <w:rPr>
                                      <w:sz w:val="18"/>
                                      <w:szCs w:val="18"/>
                                    </w:rPr>
                                    <w:t>,</w:t>
                                  </w:r>
                                  <w:r w:rsidRPr="00ED13FE">
                                    <w:rPr>
                                      <w:sz w:val="18"/>
                                      <w:szCs w:val="18"/>
                                    </w:rPr>
                                    <w:t>000</w:t>
                                  </w:r>
                                </w:p>
                              </w:tc>
                            </w:tr>
                            <w:tr w:rsidR="00A87AB3" w:rsidRPr="00ED13FE" w14:paraId="028F225A" w14:textId="77777777" w:rsidTr="00D56C8D">
                              <w:trPr>
                                <w:trHeight w:val="246"/>
                              </w:trPr>
                              <w:tc>
                                <w:tcPr>
                                  <w:tcW w:w="4007" w:type="pct"/>
                                  <w:vAlign w:val="center"/>
                                </w:tcPr>
                                <w:p w14:paraId="44A9CD57" w14:textId="77777777" w:rsidR="00A87AB3" w:rsidRPr="00ED13FE" w:rsidRDefault="00A87AB3" w:rsidP="00D56C8D">
                                  <w:pPr>
                                    <w:tabs>
                                      <w:tab w:val="left" w:pos="5415"/>
                                    </w:tabs>
                                    <w:jc w:val="left"/>
                                    <w:rPr>
                                      <w:b/>
                                      <w:sz w:val="18"/>
                                      <w:szCs w:val="18"/>
                                    </w:rPr>
                                  </w:pPr>
                                  <w:r w:rsidRPr="00ED13FE">
                                    <w:rPr>
                                      <w:sz w:val="18"/>
                                      <w:szCs w:val="18"/>
                                    </w:rPr>
                                    <w:t xml:space="preserve">    + Forecasted eligible expenditure between 30 June - 31 October</w:t>
                                  </w:r>
                                </w:p>
                              </w:tc>
                              <w:tc>
                                <w:tcPr>
                                  <w:tcW w:w="993" w:type="pct"/>
                                  <w:vAlign w:val="center"/>
                                </w:tcPr>
                                <w:p w14:paraId="4137539A" w14:textId="40E0E672" w:rsidR="00A87AB3" w:rsidRPr="00ED13FE" w:rsidRDefault="00A87AB3" w:rsidP="00A87AB3">
                                  <w:pPr>
                                    <w:tabs>
                                      <w:tab w:val="left" w:pos="5415"/>
                                    </w:tabs>
                                    <w:jc w:val="right"/>
                                    <w:rPr>
                                      <w:sz w:val="18"/>
                                      <w:szCs w:val="18"/>
                                    </w:rPr>
                                  </w:pPr>
                                  <w:r>
                                    <w:rPr>
                                      <w:sz w:val="18"/>
                                      <w:szCs w:val="18"/>
                                    </w:rPr>
                                    <w:t xml:space="preserve">+ € </w:t>
                                  </w:r>
                                  <w:r w:rsidRPr="00ED13FE">
                                    <w:rPr>
                                      <w:sz w:val="18"/>
                                      <w:szCs w:val="18"/>
                                    </w:rPr>
                                    <w:t>100</w:t>
                                  </w:r>
                                  <w:r>
                                    <w:rPr>
                                      <w:sz w:val="18"/>
                                      <w:szCs w:val="18"/>
                                    </w:rPr>
                                    <w:t>,</w:t>
                                  </w:r>
                                  <w:r w:rsidRPr="00ED13FE">
                                    <w:rPr>
                                      <w:sz w:val="18"/>
                                      <w:szCs w:val="18"/>
                                    </w:rPr>
                                    <w:t>000</w:t>
                                  </w:r>
                                </w:p>
                              </w:tc>
                            </w:tr>
                            <w:tr w:rsidR="00A87AB3" w:rsidRPr="00ED13FE" w14:paraId="0DD5773C" w14:textId="77777777" w:rsidTr="00D56C8D">
                              <w:trPr>
                                <w:trHeight w:val="480"/>
                              </w:trPr>
                              <w:tc>
                                <w:tcPr>
                                  <w:tcW w:w="4007" w:type="pct"/>
                                  <w:vAlign w:val="center"/>
                                </w:tcPr>
                                <w:p w14:paraId="48257D49" w14:textId="77777777" w:rsidR="00A87AB3" w:rsidRPr="00ED13FE" w:rsidRDefault="00A87AB3" w:rsidP="00D56C8D">
                                  <w:pPr>
                                    <w:tabs>
                                      <w:tab w:val="left" w:pos="5415"/>
                                    </w:tabs>
                                    <w:jc w:val="left"/>
                                    <w:rPr>
                                      <w:b/>
                                      <w:sz w:val="18"/>
                                      <w:szCs w:val="18"/>
                                    </w:rPr>
                                  </w:pPr>
                                  <w:r w:rsidRPr="00ED13FE">
                                    <w:rPr>
                                      <w:b/>
                                      <w:sz w:val="18"/>
                                      <w:szCs w:val="18"/>
                                    </w:rPr>
                                    <w:t>Proposed eligible expenditure for the next reporting period (1 November– 30 April) in the IFR</w:t>
                                  </w:r>
                                </w:p>
                              </w:tc>
                              <w:tc>
                                <w:tcPr>
                                  <w:tcW w:w="993" w:type="pct"/>
                                  <w:vAlign w:val="center"/>
                                </w:tcPr>
                                <w:p w14:paraId="614421E7" w14:textId="0EF587F9" w:rsidR="00A87AB3" w:rsidRPr="00ED13FE" w:rsidRDefault="00A87AB3" w:rsidP="00DF4357">
                                  <w:pPr>
                                    <w:tabs>
                                      <w:tab w:val="left" w:pos="5415"/>
                                    </w:tabs>
                                    <w:jc w:val="right"/>
                                    <w:rPr>
                                      <w:b/>
                                      <w:sz w:val="18"/>
                                      <w:szCs w:val="18"/>
                                    </w:rPr>
                                  </w:pPr>
                                  <w:r w:rsidRPr="00A87AB3">
                                    <w:rPr>
                                      <w:b/>
                                    </w:rPr>
                                    <w:t>€</w:t>
                                  </w:r>
                                  <w:r w:rsidRPr="00A87AB3">
                                    <w:rPr>
                                      <w:b/>
                                      <w:sz w:val="18"/>
                                      <w:szCs w:val="18"/>
                                    </w:rPr>
                                    <w:t xml:space="preserve"> </w:t>
                                  </w:r>
                                  <w:r w:rsidRPr="00ED13FE">
                                    <w:rPr>
                                      <w:b/>
                                      <w:sz w:val="18"/>
                                      <w:szCs w:val="18"/>
                                    </w:rPr>
                                    <w:t>500</w:t>
                                  </w:r>
                                  <w:r>
                                    <w:rPr>
                                      <w:b/>
                                      <w:sz w:val="18"/>
                                      <w:szCs w:val="18"/>
                                    </w:rPr>
                                    <w:t>,</w:t>
                                  </w:r>
                                  <w:r w:rsidRPr="00ED13FE">
                                    <w:rPr>
                                      <w:b/>
                                      <w:sz w:val="18"/>
                                      <w:szCs w:val="18"/>
                                    </w:rPr>
                                    <w:t>000</w:t>
                                  </w:r>
                                </w:p>
                              </w:tc>
                            </w:tr>
                          </w:tbl>
                          <w:p w14:paraId="514BE3E1" w14:textId="77777777" w:rsidR="00A87AB3" w:rsidRPr="00ED13FE" w:rsidRDefault="00A87AB3">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2DB70" id="_x0000_s1042" type="#_x0000_t202" style="position:absolute;left:0;text-align:left;margin-left:13.1pt;margin-top:97.6pt;width:425.15pt;height:221.6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" fillcolor="white [3212]" strokecolor="black [3213]">
                <v:textbox>
                  <w:txbxContent>
                    <w:p w14:paraId="52D0424B" w14:textId="77777777" w:rsidR="00A87AB3" w:rsidRPr="00ED13FE" w:rsidRDefault="00A87AB3" w:rsidP="00F54271">
                      <w:pPr>
                        <w:rPr>
                          <w:b/>
                          <w:sz w:val="18"/>
                          <w:szCs w:val="18"/>
                        </w:rPr>
                      </w:pPr>
                      <w:r w:rsidRPr="00ED13FE">
                        <w:rPr>
                          <w:b/>
                          <w:sz w:val="18"/>
                          <w:szCs w:val="18"/>
                        </w:rPr>
                        <w:t>Example:</w:t>
                      </w:r>
                    </w:p>
                    <w:p w14:paraId="1A8C23AC" w14:textId="77777777" w:rsidR="00A87AB3" w:rsidRPr="00ED13FE" w:rsidRDefault="00A87AB3" w:rsidP="0049030C">
                      <w:pPr>
                        <w:pStyle w:val="Caption"/>
                      </w:pPr>
                      <w:bookmarkStart w:id="56" w:name="_Toc467246323"/>
                      <w:bookmarkStart w:id="57" w:name="_Toc484174868"/>
                      <w:r w:rsidRPr="00ED13FE">
                        <w:t xml:space="preserve">Table </w:t>
                      </w:r>
                      <w:r w:rsidR="00DE4338">
                        <w:fldChar w:fldCharType="begin"/>
                      </w:r>
                      <w:r w:rsidR="00DE4338">
                        <w:instrText xml:space="preserve"> SEQ Table \* ARABIC </w:instrText>
                      </w:r>
                      <w:r w:rsidR="00DE4338">
                        <w:fldChar w:fldCharType="separate"/>
                      </w:r>
                      <w:r>
                        <w:rPr>
                          <w:noProof/>
                        </w:rPr>
                        <w:t>6</w:t>
                      </w:r>
                      <w:r w:rsidR="00DE4338">
                        <w:rPr>
                          <w:noProof/>
                        </w:rPr>
                        <w:fldChar w:fldCharType="end"/>
                      </w:r>
                      <w:r w:rsidRPr="00ED13FE">
                        <w:t>: Cash Balance Calculation</w:t>
                      </w:r>
                      <w:bookmarkEnd w:id="56"/>
                      <w:bookmarkEnd w:id="57"/>
                    </w:p>
                    <w:tbl>
                      <w:tblPr>
                        <w:tblStyle w:val="TableGrid"/>
                        <w:tblW w:w="5000" w:type="pct"/>
                        <w:tblLook w:val="04A0" w:firstRow="1" w:lastRow="0" w:firstColumn="1" w:lastColumn="0" w:noHBand="0" w:noVBand="1"/>
                      </w:tblPr>
                      <w:tblGrid>
                        <w:gridCol w:w="6564"/>
                        <w:gridCol w:w="1627"/>
                      </w:tblGrid>
                      <w:tr w:rsidR="00A87AB3" w:rsidRPr="00ED13FE" w14:paraId="1B7E4255" w14:textId="77777777" w:rsidTr="00D56C8D">
                        <w:trPr>
                          <w:cnfStyle w:val="100000000000" w:firstRow="1" w:lastRow="0" w:firstColumn="0" w:lastColumn="0" w:oddVBand="0" w:evenVBand="0" w:oddHBand="0" w:evenHBand="0" w:firstRowFirstColumn="0" w:firstRowLastColumn="0" w:lastRowFirstColumn="0" w:lastRowLastColumn="0"/>
                          <w:trHeight w:val="246"/>
                        </w:trPr>
                        <w:tc>
                          <w:tcPr>
                            <w:tcW w:w="5000" w:type="pct"/>
                            <w:gridSpan w:val="2"/>
                            <w:vAlign w:val="center"/>
                          </w:tcPr>
                          <w:p w14:paraId="1555F029" w14:textId="77777777" w:rsidR="00A87AB3" w:rsidRDefault="00A87AB3" w:rsidP="00D56C8D">
                            <w:pPr>
                              <w:tabs>
                                <w:tab w:val="left" w:pos="5415"/>
                              </w:tabs>
                              <w:jc w:val="center"/>
                              <w:rPr>
                                <w:sz w:val="18"/>
                                <w:szCs w:val="18"/>
                              </w:rPr>
                            </w:pPr>
                            <w:r w:rsidRPr="00ED13FE">
                              <w:rPr>
                                <w:sz w:val="18"/>
                                <w:szCs w:val="18"/>
                              </w:rPr>
                              <w:t>Cash Balance Calculation : 15 September IFR</w:t>
                            </w:r>
                          </w:p>
                          <w:p w14:paraId="0D414199" w14:textId="0DEC0392" w:rsidR="00A87AB3" w:rsidRPr="00EF3B6D" w:rsidRDefault="00A87AB3" w:rsidP="00D56C8D">
                            <w:pPr>
                              <w:tabs>
                                <w:tab w:val="left" w:pos="5415"/>
                              </w:tabs>
                              <w:jc w:val="center"/>
                              <w:rPr>
                                <w:b w:val="0"/>
                                <w:i/>
                                <w:sz w:val="18"/>
                                <w:szCs w:val="18"/>
                              </w:rPr>
                            </w:pPr>
                          </w:p>
                        </w:tc>
                      </w:tr>
                      <w:tr w:rsidR="00A87AB3" w:rsidRPr="00ED13FE" w14:paraId="167B0574" w14:textId="77777777" w:rsidTr="00D56C8D">
                        <w:trPr>
                          <w:trHeight w:val="233"/>
                        </w:trPr>
                        <w:tc>
                          <w:tcPr>
                            <w:tcW w:w="4007" w:type="pct"/>
                            <w:vAlign w:val="center"/>
                          </w:tcPr>
                          <w:p w14:paraId="55C36FC0" w14:textId="77777777" w:rsidR="00A87AB3" w:rsidRPr="00ED13FE" w:rsidRDefault="00A87AB3" w:rsidP="00D56C8D">
                            <w:pPr>
                              <w:tabs>
                                <w:tab w:val="left" w:pos="5415"/>
                              </w:tabs>
                              <w:jc w:val="left"/>
                              <w:rPr>
                                <w:b/>
                                <w:sz w:val="18"/>
                                <w:szCs w:val="18"/>
                              </w:rPr>
                            </w:pPr>
                            <w:r w:rsidRPr="00ED13FE">
                              <w:rPr>
                                <w:sz w:val="18"/>
                                <w:szCs w:val="18"/>
                              </w:rPr>
                              <w:t>Forecasted eligible expenditure for the next reporting period (1 November - 30 April)</w:t>
                            </w:r>
                          </w:p>
                        </w:tc>
                        <w:tc>
                          <w:tcPr>
                            <w:tcW w:w="993" w:type="pct"/>
                            <w:vAlign w:val="center"/>
                          </w:tcPr>
                          <w:p w14:paraId="45A2ED6B" w14:textId="026CF5C9" w:rsidR="00A87AB3" w:rsidRPr="00ED13FE" w:rsidRDefault="00A87AB3" w:rsidP="00A87AB3">
                            <w:pPr>
                              <w:tabs>
                                <w:tab w:val="left" w:pos="5415"/>
                              </w:tabs>
                              <w:jc w:val="center"/>
                              <w:rPr>
                                <w:sz w:val="18"/>
                                <w:szCs w:val="18"/>
                              </w:rPr>
                            </w:pPr>
                            <w:r>
                              <w:rPr>
                                <w:sz w:val="18"/>
                                <w:szCs w:val="18"/>
                              </w:rPr>
                              <w:t xml:space="preserve">+ </w:t>
                            </w:r>
                            <w:r>
                              <w:t>€</w:t>
                            </w:r>
                            <w:r>
                              <w:rPr>
                                <w:sz w:val="18"/>
                                <w:szCs w:val="18"/>
                              </w:rPr>
                              <w:t xml:space="preserve"> </w:t>
                            </w:r>
                            <w:r w:rsidRPr="00ED13FE">
                              <w:rPr>
                                <w:sz w:val="18"/>
                                <w:szCs w:val="18"/>
                              </w:rPr>
                              <w:t>800</w:t>
                            </w:r>
                            <w:r>
                              <w:rPr>
                                <w:sz w:val="18"/>
                                <w:szCs w:val="18"/>
                              </w:rPr>
                              <w:t>,</w:t>
                            </w:r>
                            <w:r w:rsidRPr="00ED13FE">
                              <w:rPr>
                                <w:sz w:val="18"/>
                                <w:szCs w:val="18"/>
                              </w:rPr>
                              <w:t>000</w:t>
                            </w:r>
                          </w:p>
                        </w:tc>
                      </w:tr>
                      <w:tr w:rsidR="00A87AB3" w:rsidRPr="00ED13FE" w14:paraId="06FD1085" w14:textId="77777777" w:rsidTr="00D56C8D">
                        <w:trPr>
                          <w:trHeight w:val="246"/>
                        </w:trPr>
                        <w:tc>
                          <w:tcPr>
                            <w:tcW w:w="4007" w:type="pct"/>
                            <w:vAlign w:val="center"/>
                          </w:tcPr>
                          <w:p w14:paraId="088CF5FB" w14:textId="77777777" w:rsidR="00A87AB3" w:rsidRPr="00ED13FE" w:rsidRDefault="00A87AB3" w:rsidP="00D56C8D">
                            <w:pPr>
                              <w:tabs>
                                <w:tab w:val="left" w:pos="5415"/>
                              </w:tabs>
                              <w:jc w:val="left"/>
                              <w:rPr>
                                <w:b/>
                                <w:sz w:val="18"/>
                                <w:szCs w:val="18"/>
                              </w:rPr>
                            </w:pPr>
                            <w:r w:rsidRPr="00ED13FE">
                              <w:rPr>
                                <w:sz w:val="18"/>
                                <w:szCs w:val="18"/>
                              </w:rPr>
                              <w:t xml:space="preserve">    - Previously proposed eligible expenditure till 31 October   </w:t>
                            </w:r>
                          </w:p>
                        </w:tc>
                        <w:tc>
                          <w:tcPr>
                            <w:tcW w:w="993" w:type="pct"/>
                            <w:vAlign w:val="center"/>
                          </w:tcPr>
                          <w:p w14:paraId="22C55290" w14:textId="291DC51C" w:rsidR="00A87AB3" w:rsidRPr="00ED13FE" w:rsidRDefault="00A87AB3" w:rsidP="00DF4357">
                            <w:pPr>
                              <w:tabs>
                                <w:tab w:val="left" w:pos="5415"/>
                              </w:tabs>
                              <w:jc w:val="right"/>
                              <w:rPr>
                                <w:sz w:val="18"/>
                                <w:szCs w:val="18"/>
                              </w:rPr>
                            </w:pPr>
                            <w:r>
                              <w:rPr>
                                <w:sz w:val="18"/>
                                <w:szCs w:val="18"/>
                              </w:rPr>
                              <w:t xml:space="preserve">- € </w:t>
                            </w:r>
                            <w:r w:rsidRPr="00ED13FE">
                              <w:rPr>
                                <w:sz w:val="18"/>
                                <w:szCs w:val="18"/>
                              </w:rPr>
                              <w:t>1</w:t>
                            </w:r>
                            <w:r>
                              <w:rPr>
                                <w:sz w:val="18"/>
                                <w:szCs w:val="18"/>
                              </w:rPr>
                              <w:t>,</w:t>
                            </w:r>
                            <w:r w:rsidRPr="00ED13FE">
                              <w:rPr>
                                <w:sz w:val="18"/>
                                <w:szCs w:val="18"/>
                              </w:rPr>
                              <w:t>000</w:t>
                            </w:r>
                            <w:r>
                              <w:rPr>
                                <w:sz w:val="18"/>
                                <w:szCs w:val="18"/>
                              </w:rPr>
                              <w:t>,</w:t>
                            </w:r>
                            <w:r w:rsidRPr="00ED13FE">
                              <w:rPr>
                                <w:sz w:val="18"/>
                                <w:szCs w:val="18"/>
                              </w:rPr>
                              <w:t>000</w:t>
                            </w:r>
                          </w:p>
                        </w:tc>
                      </w:tr>
                      <w:tr w:rsidR="00A87AB3" w:rsidRPr="00ED13FE" w14:paraId="1871111A" w14:textId="77777777" w:rsidTr="00D56C8D">
                        <w:trPr>
                          <w:trHeight w:val="233"/>
                        </w:trPr>
                        <w:tc>
                          <w:tcPr>
                            <w:tcW w:w="4007" w:type="pct"/>
                            <w:vAlign w:val="center"/>
                          </w:tcPr>
                          <w:p w14:paraId="356F6641" w14:textId="77777777" w:rsidR="00A87AB3" w:rsidRPr="00ED13FE" w:rsidRDefault="00A87AB3" w:rsidP="00D56C8D">
                            <w:pPr>
                              <w:tabs>
                                <w:tab w:val="left" w:pos="5415"/>
                              </w:tabs>
                              <w:jc w:val="left"/>
                              <w:rPr>
                                <w:b/>
                                <w:sz w:val="18"/>
                                <w:szCs w:val="18"/>
                              </w:rPr>
                            </w:pPr>
                            <w:r w:rsidRPr="00ED13FE">
                              <w:rPr>
                                <w:sz w:val="18"/>
                                <w:szCs w:val="18"/>
                              </w:rPr>
                              <w:t xml:space="preserve">    + Total incurred eligible expenditure reported till 30 June</w:t>
                            </w:r>
                          </w:p>
                        </w:tc>
                        <w:tc>
                          <w:tcPr>
                            <w:tcW w:w="993" w:type="pct"/>
                            <w:vAlign w:val="center"/>
                          </w:tcPr>
                          <w:p w14:paraId="0DB29E56" w14:textId="761F99A3" w:rsidR="00A87AB3" w:rsidRPr="00ED13FE" w:rsidRDefault="00A87AB3" w:rsidP="00DF4357">
                            <w:pPr>
                              <w:tabs>
                                <w:tab w:val="left" w:pos="5415"/>
                              </w:tabs>
                              <w:jc w:val="right"/>
                              <w:rPr>
                                <w:sz w:val="18"/>
                                <w:szCs w:val="18"/>
                              </w:rPr>
                            </w:pPr>
                            <w:r>
                              <w:rPr>
                                <w:sz w:val="18"/>
                                <w:szCs w:val="18"/>
                              </w:rPr>
                              <w:t xml:space="preserve">+  € </w:t>
                            </w:r>
                            <w:r w:rsidRPr="00ED13FE">
                              <w:rPr>
                                <w:sz w:val="18"/>
                                <w:szCs w:val="18"/>
                              </w:rPr>
                              <w:t>600</w:t>
                            </w:r>
                            <w:r>
                              <w:rPr>
                                <w:sz w:val="18"/>
                                <w:szCs w:val="18"/>
                              </w:rPr>
                              <w:t>,</w:t>
                            </w:r>
                            <w:r w:rsidRPr="00ED13FE">
                              <w:rPr>
                                <w:sz w:val="18"/>
                                <w:szCs w:val="18"/>
                              </w:rPr>
                              <w:t>000</w:t>
                            </w:r>
                          </w:p>
                        </w:tc>
                      </w:tr>
                      <w:tr w:rsidR="00A87AB3" w:rsidRPr="00ED13FE" w14:paraId="028F225A" w14:textId="77777777" w:rsidTr="00D56C8D">
                        <w:trPr>
                          <w:trHeight w:val="246"/>
                        </w:trPr>
                        <w:tc>
                          <w:tcPr>
                            <w:tcW w:w="4007" w:type="pct"/>
                            <w:vAlign w:val="center"/>
                          </w:tcPr>
                          <w:p w14:paraId="44A9CD57" w14:textId="77777777" w:rsidR="00A87AB3" w:rsidRPr="00ED13FE" w:rsidRDefault="00A87AB3" w:rsidP="00D56C8D">
                            <w:pPr>
                              <w:tabs>
                                <w:tab w:val="left" w:pos="5415"/>
                              </w:tabs>
                              <w:jc w:val="left"/>
                              <w:rPr>
                                <w:b/>
                                <w:sz w:val="18"/>
                                <w:szCs w:val="18"/>
                              </w:rPr>
                            </w:pPr>
                            <w:r w:rsidRPr="00ED13FE">
                              <w:rPr>
                                <w:sz w:val="18"/>
                                <w:szCs w:val="18"/>
                              </w:rPr>
                              <w:t xml:space="preserve">    + Forecasted eligible expenditure between 30 June - 31 October</w:t>
                            </w:r>
                          </w:p>
                        </w:tc>
                        <w:tc>
                          <w:tcPr>
                            <w:tcW w:w="993" w:type="pct"/>
                            <w:vAlign w:val="center"/>
                          </w:tcPr>
                          <w:p w14:paraId="4137539A" w14:textId="40E0E672" w:rsidR="00A87AB3" w:rsidRPr="00ED13FE" w:rsidRDefault="00A87AB3" w:rsidP="00A87AB3">
                            <w:pPr>
                              <w:tabs>
                                <w:tab w:val="left" w:pos="5415"/>
                              </w:tabs>
                              <w:jc w:val="right"/>
                              <w:rPr>
                                <w:sz w:val="18"/>
                                <w:szCs w:val="18"/>
                              </w:rPr>
                            </w:pPr>
                            <w:r>
                              <w:rPr>
                                <w:sz w:val="18"/>
                                <w:szCs w:val="18"/>
                              </w:rPr>
                              <w:t xml:space="preserve">+ € </w:t>
                            </w:r>
                            <w:r w:rsidRPr="00ED13FE">
                              <w:rPr>
                                <w:sz w:val="18"/>
                                <w:szCs w:val="18"/>
                              </w:rPr>
                              <w:t>100</w:t>
                            </w:r>
                            <w:r>
                              <w:rPr>
                                <w:sz w:val="18"/>
                                <w:szCs w:val="18"/>
                              </w:rPr>
                              <w:t>,</w:t>
                            </w:r>
                            <w:r w:rsidRPr="00ED13FE">
                              <w:rPr>
                                <w:sz w:val="18"/>
                                <w:szCs w:val="18"/>
                              </w:rPr>
                              <w:t>000</w:t>
                            </w:r>
                          </w:p>
                        </w:tc>
                      </w:tr>
                      <w:tr w:rsidR="00A87AB3" w:rsidRPr="00ED13FE" w14:paraId="0DD5773C" w14:textId="77777777" w:rsidTr="00D56C8D">
                        <w:trPr>
                          <w:trHeight w:val="480"/>
                        </w:trPr>
                        <w:tc>
                          <w:tcPr>
                            <w:tcW w:w="4007" w:type="pct"/>
                            <w:vAlign w:val="center"/>
                          </w:tcPr>
                          <w:p w14:paraId="48257D49" w14:textId="77777777" w:rsidR="00A87AB3" w:rsidRPr="00ED13FE" w:rsidRDefault="00A87AB3" w:rsidP="00D56C8D">
                            <w:pPr>
                              <w:tabs>
                                <w:tab w:val="left" w:pos="5415"/>
                              </w:tabs>
                              <w:jc w:val="left"/>
                              <w:rPr>
                                <w:b/>
                                <w:sz w:val="18"/>
                                <w:szCs w:val="18"/>
                              </w:rPr>
                            </w:pPr>
                            <w:r w:rsidRPr="00ED13FE">
                              <w:rPr>
                                <w:b/>
                                <w:sz w:val="18"/>
                                <w:szCs w:val="18"/>
                              </w:rPr>
                              <w:t>Proposed eligible expenditure for the next reporting period (1 November– 30 April) in the IFR</w:t>
                            </w:r>
                          </w:p>
                        </w:tc>
                        <w:tc>
                          <w:tcPr>
                            <w:tcW w:w="993" w:type="pct"/>
                            <w:vAlign w:val="center"/>
                          </w:tcPr>
                          <w:p w14:paraId="614421E7" w14:textId="0EF587F9" w:rsidR="00A87AB3" w:rsidRPr="00ED13FE" w:rsidRDefault="00A87AB3" w:rsidP="00DF4357">
                            <w:pPr>
                              <w:tabs>
                                <w:tab w:val="left" w:pos="5415"/>
                              </w:tabs>
                              <w:jc w:val="right"/>
                              <w:rPr>
                                <w:b/>
                                <w:sz w:val="18"/>
                                <w:szCs w:val="18"/>
                              </w:rPr>
                            </w:pPr>
                            <w:r w:rsidRPr="00A87AB3">
                              <w:rPr>
                                <w:b/>
                              </w:rPr>
                              <w:t>€</w:t>
                            </w:r>
                            <w:r w:rsidRPr="00A87AB3">
                              <w:rPr>
                                <w:b/>
                                <w:sz w:val="18"/>
                                <w:szCs w:val="18"/>
                              </w:rPr>
                              <w:t xml:space="preserve"> </w:t>
                            </w:r>
                            <w:r w:rsidRPr="00ED13FE">
                              <w:rPr>
                                <w:b/>
                                <w:sz w:val="18"/>
                                <w:szCs w:val="18"/>
                              </w:rPr>
                              <w:t>500</w:t>
                            </w:r>
                            <w:r>
                              <w:rPr>
                                <w:b/>
                                <w:sz w:val="18"/>
                                <w:szCs w:val="18"/>
                              </w:rPr>
                              <w:t>,</w:t>
                            </w:r>
                            <w:r w:rsidRPr="00ED13FE">
                              <w:rPr>
                                <w:b/>
                                <w:sz w:val="18"/>
                                <w:szCs w:val="18"/>
                              </w:rPr>
                              <w:t>000</w:t>
                            </w:r>
                          </w:p>
                        </w:tc>
                      </w:tr>
                    </w:tbl>
                    <w:p w14:paraId="514BE3E1" w14:textId="77777777" w:rsidR="00A87AB3" w:rsidRPr="00ED13FE" w:rsidRDefault="00A87AB3">
                      <w:pPr>
                        <w:rPr>
                          <w:sz w:val="18"/>
                          <w:szCs w:val="18"/>
                        </w:rPr>
                      </w:pPr>
                    </w:p>
                  </w:txbxContent>
                </v:textbox>
                <w10:wrap type="square"/>
              </v:shape>
            </w:pict>
          </mc:Fallback>
        </mc:AlternateContent>
      </w:r>
      <w:r w:rsidR="005D0B75" w:rsidRPr="009B7F14">
        <w:t>Secondly, the P</w:t>
      </w:r>
      <w:r w:rsidR="007A4DEF" w:rsidRPr="009B7F14">
        <w:t>O</w:t>
      </w:r>
      <w:r w:rsidR="005D0B75" w:rsidRPr="009B7F14">
        <w:t xml:space="preserve"> shall provide a statement for proposed expenditure for the reporting period immediately following the submission d</w:t>
      </w:r>
      <w:r w:rsidR="00673716" w:rsidRPr="009B7F14">
        <w:t>eadline</w:t>
      </w:r>
      <w:r w:rsidR="005D0B75" w:rsidRPr="009B7F14">
        <w:t xml:space="preserve"> of the report (i.e. if the submission deadline is 15 September, the proposed expenditure shall cover the period 1 November – 30 April). All amounts in this section shall be denominated in euro. The FMO will disburse the grant part of the proposed expenditure, unless expenditure proposed by the </w:t>
      </w:r>
      <w:r w:rsidR="002B226E" w:rsidRPr="009B7F14">
        <w:t>PO</w:t>
      </w:r>
      <w:r w:rsidR="005D0B75" w:rsidRPr="009B7F14">
        <w:t xml:space="preserve"> is considered unjustified. Also the amount of any previously disbursed, but unused funds will be taken into consideration when approving the claim.</w:t>
      </w:r>
    </w:p>
    <w:p w14:paraId="20662858" w14:textId="6D4556B1" w:rsidR="00147D69" w:rsidRPr="009B7F14" w:rsidRDefault="00147D69" w:rsidP="00376576">
      <w:r w:rsidRPr="00147D69">
        <w:t>Thirdly, the IFR shall provide information on progress towards achieving outputs and outcomes as described in the template.</w:t>
      </w:r>
    </w:p>
    <w:p w14:paraId="2332C3CF" w14:textId="2F05A22A" w:rsidR="005D0B75" w:rsidRPr="009B7F14" w:rsidRDefault="002D0503" w:rsidP="00376576">
      <w:r w:rsidRPr="009B7F14">
        <w:t>For</w:t>
      </w:r>
      <w:r w:rsidR="005D0B75" w:rsidRPr="009B7F14">
        <w:t xml:space="preserve"> a payment to be approved, any conditions set out in the Regulations and the </w:t>
      </w:r>
      <w:r w:rsidR="002B226E" w:rsidRPr="009B7F14">
        <w:t>PA</w:t>
      </w:r>
      <w:r w:rsidR="005D0B75" w:rsidRPr="009B7F14">
        <w:t xml:space="preserve"> must be fulfilled. The FMO will provide the </w:t>
      </w:r>
      <w:r w:rsidR="002B226E" w:rsidRPr="009B7F14">
        <w:t>NFP</w:t>
      </w:r>
      <w:r w:rsidR="005D0B75" w:rsidRPr="009B7F14">
        <w:t xml:space="preserve">, </w:t>
      </w:r>
      <w:r w:rsidR="002B226E" w:rsidRPr="009B7F14">
        <w:t>CA</w:t>
      </w:r>
      <w:r w:rsidR="005D0B75" w:rsidRPr="009B7F14">
        <w:t xml:space="preserve"> and the </w:t>
      </w:r>
      <w:r w:rsidR="001A05D8" w:rsidRPr="009B7F14">
        <w:t>PO</w:t>
      </w:r>
      <w:r w:rsidR="005D0B75" w:rsidRPr="009B7F14">
        <w:t xml:space="preserve"> with a justification of any corrections made to the payment request. A flow chart showing the reporting period and structure can be found </w:t>
      </w:r>
      <w:r w:rsidR="00386D12" w:rsidRPr="009B7F14">
        <w:t xml:space="preserve">in </w:t>
      </w:r>
      <w:r w:rsidR="00653B97" w:rsidRPr="009B7F14">
        <w:t>A</w:t>
      </w:r>
      <w:r w:rsidR="00386D12" w:rsidRPr="009B7F14">
        <w:t xml:space="preserve">nnex </w:t>
      </w:r>
      <w:r w:rsidR="00F37581">
        <w:t>5.3</w:t>
      </w:r>
      <w:r w:rsidR="00386D12" w:rsidRPr="009B7F14">
        <w:t>.</w:t>
      </w:r>
    </w:p>
    <w:p w14:paraId="6D8EA268" w14:textId="77777777" w:rsidR="005D0B75" w:rsidRPr="009B7F14" w:rsidRDefault="005D0B75" w:rsidP="00376576">
      <w:r w:rsidRPr="009B7F14">
        <w:t xml:space="preserve">Reporting on incurred expenditure as well as on proposed expenditure shall be broken down per budget heading as set out in </w:t>
      </w:r>
      <w:r w:rsidR="001A05D8" w:rsidRPr="009B7F14">
        <w:t>PA.</w:t>
      </w:r>
      <w:r w:rsidRPr="009B7F14">
        <w:t xml:space="preserve"> </w:t>
      </w:r>
    </w:p>
    <w:p w14:paraId="13F95131" w14:textId="7322CA60" w:rsidR="005D0B75" w:rsidRPr="009B7F14" w:rsidRDefault="005D0B75" w:rsidP="00376576">
      <w:r w:rsidRPr="009B7F14">
        <w:t xml:space="preserve">IFRs received after </w:t>
      </w:r>
      <w:r w:rsidR="00562A13" w:rsidRPr="009B7F14">
        <w:t>their</w:t>
      </w:r>
      <w:r w:rsidRPr="009B7F14">
        <w:t xml:space="preserve"> due date but on, or before, the following due date will be processed by the FMO as the report would have been received on its following due date. If an IFR has not been received within twelve months from the end of the reporting period in which expenditure has been incurred by the </w:t>
      </w:r>
      <w:r w:rsidR="001A05D8" w:rsidRPr="009B7F14">
        <w:t>PO</w:t>
      </w:r>
      <w:r w:rsidRPr="009B7F14">
        <w:t xml:space="preserve">, the expenditure for that period will be declared ineligible and cancelled. </w:t>
      </w:r>
    </w:p>
    <w:p w14:paraId="5EAC7D5F" w14:textId="0894A8A8" w:rsidR="005D0B75" w:rsidRPr="009B7F14" w:rsidRDefault="005D0B75" w:rsidP="00376576">
      <w:r w:rsidRPr="009B7F14">
        <w:t xml:space="preserve">In case of discrepancies in payments which are due to rounding errors and which cumulatively do not exceed </w:t>
      </w:r>
      <w:r w:rsidR="00DF4357">
        <w:t>€</w:t>
      </w:r>
      <w:r w:rsidR="00AB3DFE">
        <w:t xml:space="preserve"> </w:t>
      </w:r>
      <w:r w:rsidRPr="009B7F14">
        <w:t>50 the relevant amounts shall be taken into account in the calculation of the final balance.</w:t>
      </w:r>
    </w:p>
    <w:p w14:paraId="1A5284AC" w14:textId="77777777" w:rsidR="005D0B75" w:rsidRPr="009B7F14" w:rsidRDefault="001E3875" w:rsidP="00376576">
      <w:r w:rsidRPr="009B7F14">
        <w:t xml:space="preserve">Please see chapter </w:t>
      </w:r>
      <w:r w:rsidRPr="009B7F14">
        <w:fldChar w:fldCharType="begin"/>
      </w:r>
      <w:r w:rsidRPr="009B7F14">
        <w:instrText xml:space="preserve"> REF _Ref461630088 \r \h </w:instrText>
      </w:r>
      <w:r w:rsidR="009B7F14">
        <w:instrText xml:space="preserve"> \* MERGEFORMAT </w:instrText>
      </w:r>
      <w:r w:rsidRPr="009B7F14">
        <w:fldChar w:fldCharType="separate"/>
      </w:r>
      <w:r w:rsidR="00215E29">
        <w:t>4.1</w:t>
      </w:r>
      <w:r w:rsidRPr="009B7F14">
        <w:fldChar w:fldCharType="end"/>
      </w:r>
      <w:r w:rsidR="005D0B75" w:rsidRPr="009B7F14">
        <w:t xml:space="preserve"> for information about the Final Balance.</w:t>
      </w:r>
    </w:p>
    <w:p w14:paraId="6AB8882F" w14:textId="23ECC2C3" w:rsidR="00EA0104" w:rsidRPr="009B7F14" w:rsidRDefault="00897823" w:rsidP="00920571">
      <w:pPr>
        <w:pStyle w:val="Heading2"/>
      </w:pPr>
      <w:bookmarkStart w:id="58" w:name="_Ref461629932"/>
      <w:bookmarkStart w:id="59" w:name="_Toc484174843"/>
      <w:r w:rsidRPr="009B7F14">
        <w:t>C</w:t>
      </w:r>
      <w:r w:rsidR="00AE1248" w:rsidRPr="009B7F14">
        <w:t>ertification of expenditure by the CA</w:t>
      </w:r>
      <w:r w:rsidR="00EA0104" w:rsidRPr="009B7F14">
        <w:t xml:space="preserve"> (</w:t>
      </w:r>
      <w:r w:rsidR="00324783" w:rsidRPr="009B7F14">
        <w:t xml:space="preserve">Reg. </w:t>
      </w:r>
      <w:r w:rsidR="00EA0104" w:rsidRPr="009B7F14">
        <w:t xml:space="preserve">Art. </w:t>
      </w:r>
      <w:r w:rsidR="001A05D8" w:rsidRPr="009B7F14">
        <w:t>5.4</w:t>
      </w:r>
      <w:r w:rsidR="00EA0104" w:rsidRPr="009B7F14">
        <w:t>)</w:t>
      </w:r>
      <w:bookmarkEnd w:id="58"/>
      <w:bookmarkEnd w:id="59"/>
    </w:p>
    <w:p w14:paraId="631502C3" w14:textId="0FD094D0" w:rsidR="00790E08" w:rsidRPr="00790E08" w:rsidRDefault="00790E08" w:rsidP="00920571">
      <w:pPr>
        <w:pStyle w:val="Heading3"/>
      </w:pPr>
      <w:r>
        <w:t>Purpose</w:t>
      </w:r>
      <w:r w:rsidRPr="00790E08">
        <w:t xml:space="preserve"> </w:t>
      </w:r>
    </w:p>
    <w:p w14:paraId="444D5AC6" w14:textId="4DFE7081" w:rsidR="00BD22CC" w:rsidRPr="009B7F14" w:rsidRDefault="00B45F79" w:rsidP="00376576">
      <w:pPr>
        <w:autoSpaceDE w:val="0"/>
        <w:autoSpaceDN w:val="0"/>
        <w:adjustRightInd w:val="0"/>
        <w:rPr>
          <w:rFonts w:cs="TimesNewRoman"/>
        </w:rPr>
      </w:pPr>
      <w:r>
        <w:rPr>
          <w:rFonts w:cs="TimesNewRoman"/>
        </w:rPr>
        <w:t>T</w:t>
      </w:r>
      <w:r w:rsidRPr="00B45F79">
        <w:rPr>
          <w:rFonts w:cs="TimesNewRoman"/>
        </w:rPr>
        <w:t>hrough</w:t>
      </w:r>
      <w:r>
        <w:rPr>
          <w:rFonts w:cs="TimesNewRoman"/>
        </w:rPr>
        <w:t xml:space="preserve"> the certification process, t</w:t>
      </w:r>
      <w:r w:rsidR="00BD22CC" w:rsidRPr="009B7F14">
        <w:rPr>
          <w:rFonts w:cs="TimesNewRoman"/>
        </w:rPr>
        <w:t xml:space="preserve">he CA </w:t>
      </w:r>
      <w:r w:rsidR="00950EAE">
        <w:rPr>
          <w:rFonts w:cs="TimesNewRoman"/>
        </w:rPr>
        <w:t>should</w:t>
      </w:r>
      <w:r w:rsidR="00BD22CC" w:rsidRPr="009B7F14">
        <w:rPr>
          <w:rFonts w:cs="TimesNewRoman"/>
        </w:rPr>
        <w:t xml:space="preserve"> be able to ensure that:</w:t>
      </w:r>
    </w:p>
    <w:p w14:paraId="66A046C1" w14:textId="37892BA2" w:rsidR="00BD22CC" w:rsidRPr="00090A7E" w:rsidRDefault="003146B8" w:rsidP="009F01EE">
      <w:pPr>
        <w:pStyle w:val="ListParagraph"/>
        <w:numPr>
          <w:ilvl w:val="0"/>
          <w:numId w:val="36"/>
        </w:numPr>
        <w:spacing w:before="0"/>
        <w:ind w:left="284" w:hanging="284"/>
        <w:contextualSpacing w:val="0"/>
      </w:pPr>
      <w:r w:rsidRPr="00090A7E">
        <w:t>T</w:t>
      </w:r>
      <w:r w:rsidR="00BD22CC" w:rsidRPr="00090A7E">
        <w:t xml:space="preserve">he summary of eligible expenditure submitted by the PO is in full conformity with </w:t>
      </w:r>
      <w:r w:rsidR="003F1DC7" w:rsidRPr="00090A7E">
        <w:t xml:space="preserve"> </w:t>
      </w:r>
      <w:r w:rsidR="00BD22CC" w:rsidRPr="00090A7E">
        <w:t>the supporting docu</w:t>
      </w:r>
      <w:r w:rsidR="00090A7E" w:rsidRPr="00090A7E">
        <w:t>ments</w:t>
      </w:r>
    </w:p>
    <w:p w14:paraId="2DC73860" w14:textId="0750F5C4" w:rsidR="00BD22CC" w:rsidRPr="00090A7E" w:rsidRDefault="003146B8" w:rsidP="009F01EE">
      <w:pPr>
        <w:pStyle w:val="ListParagraph"/>
        <w:numPr>
          <w:ilvl w:val="0"/>
          <w:numId w:val="36"/>
        </w:numPr>
        <w:spacing w:before="0"/>
        <w:ind w:left="284" w:hanging="284"/>
        <w:contextualSpacing w:val="0"/>
      </w:pPr>
      <w:r w:rsidRPr="00090A7E">
        <w:t>T</w:t>
      </w:r>
      <w:r w:rsidR="00BD22CC" w:rsidRPr="00090A7E">
        <w:t xml:space="preserve">he supporting documents have been examined and found to be </w:t>
      </w:r>
      <w:r w:rsidR="00090A7E" w:rsidRPr="00090A7E">
        <w:t>authentic, correct and accurate</w:t>
      </w:r>
      <w:r w:rsidR="00BD22CC" w:rsidRPr="00090A7E">
        <w:t xml:space="preserve"> </w:t>
      </w:r>
    </w:p>
    <w:p w14:paraId="4ECA81AF" w14:textId="0DDD82A0" w:rsidR="00BD22CC" w:rsidRPr="00090A7E" w:rsidRDefault="003146B8" w:rsidP="009F01EE">
      <w:pPr>
        <w:pStyle w:val="ListParagraph"/>
        <w:numPr>
          <w:ilvl w:val="0"/>
          <w:numId w:val="36"/>
        </w:numPr>
        <w:spacing w:before="0"/>
        <w:ind w:left="284" w:hanging="284"/>
        <w:contextualSpacing w:val="0"/>
      </w:pPr>
      <w:r w:rsidRPr="00090A7E">
        <w:t>T</w:t>
      </w:r>
      <w:r w:rsidR="00BD22CC" w:rsidRPr="00090A7E">
        <w:t>he summary of eligible expenditure is based on verifiable accounting which is in compliance with generally accepted acc</w:t>
      </w:r>
      <w:r w:rsidR="00090A7E" w:rsidRPr="00090A7E">
        <w:t>ounting principles and methods</w:t>
      </w:r>
    </w:p>
    <w:p w14:paraId="49DDE300" w14:textId="78ED92E6" w:rsidR="00BD22CC" w:rsidRPr="00090A7E" w:rsidRDefault="003146B8" w:rsidP="009F01EE">
      <w:pPr>
        <w:pStyle w:val="ListParagraph"/>
        <w:numPr>
          <w:ilvl w:val="0"/>
          <w:numId w:val="36"/>
        </w:numPr>
        <w:spacing w:before="0"/>
        <w:ind w:left="284" w:hanging="284"/>
        <w:contextualSpacing w:val="0"/>
      </w:pPr>
      <w:r w:rsidRPr="00090A7E">
        <w:t>T</w:t>
      </w:r>
      <w:r w:rsidR="00BD22CC" w:rsidRPr="00090A7E">
        <w:t>he summary of eligible expenditure falls within eligible expenditure under the Regulation</w:t>
      </w:r>
      <w:r w:rsidR="00090A7E" w:rsidRPr="00090A7E">
        <w:t>(s)</w:t>
      </w:r>
      <w:r w:rsidR="00BD22CC" w:rsidRPr="00090A7E">
        <w:t xml:space="preserve"> </w:t>
      </w:r>
    </w:p>
    <w:p w14:paraId="605A5B54" w14:textId="32E43560" w:rsidR="00BD22CC" w:rsidRPr="00090A7E" w:rsidRDefault="003146B8" w:rsidP="009F01EE">
      <w:pPr>
        <w:pStyle w:val="ListParagraph"/>
        <w:numPr>
          <w:ilvl w:val="0"/>
          <w:numId w:val="36"/>
        </w:numPr>
        <w:spacing w:before="0"/>
        <w:ind w:left="284" w:hanging="284"/>
        <w:contextualSpacing w:val="0"/>
      </w:pPr>
      <w:r w:rsidRPr="00090A7E">
        <w:t>T</w:t>
      </w:r>
      <w:r w:rsidR="00BD22CC" w:rsidRPr="00090A7E">
        <w:t xml:space="preserve">he summary of expenditure is incurred as part of the implementation of the </w:t>
      </w:r>
      <w:r w:rsidR="00231058">
        <w:t>p</w:t>
      </w:r>
      <w:r w:rsidR="00BD22CC" w:rsidRPr="00090A7E">
        <w:t>rogramme in accordan</w:t>
      </w:r>
      <w:r w:rsidR="00090A7E" w:rsidRPr="00090A7E">
        <w:t>ce with the P</w:t>
      </w:r>
      <w:r w:rsidR="00AF054F">
        <w:t>A</w:t>
      </w:r>
      <w:r w:rsidR="00BD22CC" w:rsidRPr="00090A7E">
        <w:t xml:space="preserve"> </w:t>
      </w:r>
    </w:p>
    <w:p w14:paraId="056E87AD" w14:textId="711C7056" w:rsidR="00BD22CC" w:rsidRPr="00090A7E" w:rsidRDefault="003146B8" w:rsidP="009F01EE">
      <w:pPr>
        <w:pStyle w:val="ListParagraph"/>
        <w:numPr>
          <w:ilvl w:val="0"/>
          <w:numId w:val="36"/>
        </w:numPr>
        <w:spacing w:before="0"/>
        <w:ind w:left="284" w:hanging="284"/>
        <w:contextualSpacing w:val="0"/>
      </w:pPr>
      <w:r w:rsidRPr="00090A7E">
        <w:t>S</w:t>
      </w:r>
      <w:r w:rsidR="00090A7E" w:rsidRPr="00090A7E">
        <w:t>ufficient audit trail exists</w:t>
      </w:r>
    </w:p>
    <w:p w14:paraId="7C57A95F" w14:textId="7AA8429F" w:rsidR="00BD22CC" w:rsidRPr="00090A7E" w:rsidRDefault="000A63D8" w:rsidP="009F01EE">
      <w:pPr>
        <w:pStyle w:val="ListParagraph"/>
        <w:numPr>
          <w:ilvl w:val="0"/>
          <w:numId w:val="36"/>
        </w:numPr>
        <w:spacing w:before="0"/>
        <w:ind w:left="284" w:hanging="284"/>
        <w:contextualSpacing w:val="0"/>
      </w:pPr>
      <w:r>
        <w:t>C</w:t>
      </w:r>
      <w:r w:rsidR="00BD22CC" w:rsidRPr="00090A7E">
        <w:t>o-financing committed</w:t>
      </w:r>
      <w:r w:rsidR="00231058">
        <w:t xml:space="preserve"> to the p</w:t>
      </w:r>
      <w:r w:rsidR="00090A7E" w:rsidRPr="00090A7E">
        <w:t>rogramme has been paid</w:t>
      </w:r>
      <w:r w:rsidR="002E4043">
        <w:t xml:space="preserve"> (when appropriate)</w:t>
      </w:r>
      <w:r w:rsidR="002E4043" w:rsidRPr="00090A7E">
        <w:t xml:space="preserve"> </w:t>
      </w:r>
      <w:r w:rsidR="00BD22CC" w:rsidRPr="00090A7E">
        <w:t xml:space="preserve"> </w:t>
      </w:r>
    </w:p>
    <w:p w14:paraId="482826E7" w14:textId="77777777" w:rsidR="00AC7BCF" w:rsidRDefault="00AC7BCF">
      <w:pPr>
        <w:spacing w:before="0" w:after="160"/>
        <w:jc w:val="left"/>
        <w:rPr>
          <w:rFonts w:eastAsiaTheme="minorEastAsia"/>
          <w:b/>
          <w:bCs/>
          <w:i/>
          <w:iCs/>
          <w:color w:val="C45911" w:themeColor="accent2" w:themeShade="BF"/>
          <w:szCs w:val="20"/>
        </w:rPr>
      </w:pPr>
      <w:r>
        <w:br w:type="page"/>
      </w:r>
    </w:p>
    <w:p w14:paraId="4EE888C5" w14:textId="182B1743" w:rsidR="00790E08" w:rsidRPr="009B7F14" w:rsidRDefault="00790E08" w:rsidP="00920571">
      <w:pPr>
        <w:pStyle w:val="Heading3"/>
      </w:pPr>
      <w:r>
        <w:t>S</w:t>
      </w:r>
      <w:r w:rsidRPr="009B7F14">
        <w:t>cope</w:t>
      </w:r>
      <w:r>
        <w:t>, p</w:t>
      </w:r>
      <w:r w:rsidRPr="009B7F14">
        <w:t>rocedures</w:t>
      </w:r>
      <w:r>
        <w:t xml:space="preserve"> and records</w:t>
      </w:r>
    </w:p>
    <w:p w14:paraId="056546F4" w14:textId="4F8EA103" w:rsidR="00962C85" w:rsidRDefault="00790E08" w:rsidP="002E4043">
      <w:pPr>
        <w:spacing w:before="0"/>
      </w:pPr>
      <w:r w:rsidRPr="00790E08">
        <w:rPr>
          <w:b/>
        </w:rPr>
        <w:t>Scope:</w:t>
      </w:r>
      <w:r>
        <w:t xml:space="preserve"> Expenditures reported by the PO in each IFR should be subject to the certification by the CA. </w:t>
      </w:r>
    </w:p>
    <w:p w14:paraId="2DC3BFAA" w14:textId="04153179" w:rsidR="00790E08" w:rsidRPr="00090A7E" w:rsidRDefault="00790E08" w:rsidP="002E4043">
      <w:pPr>
        <w:spacing w:before="0"/>
      </w:pPr>
      <w:r>
        <w:t>The expenditures can be:</w:t>
      </w:r>
    </w:p>
    <w:p w14:paraId="195FB305" w14:textId="0C3E2132" w:rsidR="00962C85" w:rsidRPr="00DF1196" w:rsidRDefault="00790E08" w:rsidP="009F01EE">
      <w:pPr>
        <w:pStyle w:val="ListParagraph"/>
        <w:numPr>
          <w:ilvl w:val="0"/>
          <w:numId w:val="36"/>
        </w:numPr>
        <w:spacing w:before="0"/>
        <w:ind w:left="284" w:hanging="284"/>
        <w:contextualSpacing w:val="0"/>
      </w:pPr>
      <w:r>
        <w:t>D</w:t>
      </w:r>
      <w:r w:rsidR="00717284" w:rsidRPr="00DF1196">
        <w:t xml:space="preserve">irectly </w:t>
      </w:r>
      <w:r w:rsidR="00962C85" w:rsidRPr="00DF1196">
        <w:t>incurred by the PO (e.g. costs declared under the programme management</w:t>
      </w:r>
      <w:r w:rsidR="00753BCC" w:rsidRPr="00DF1196">
        <w:t>)</w:t>
      </w:r>
      <w:r w:rsidR="005F3998" w:rsidRPr="00DF1196">
        <w:t xml:space="preserve">: in this case, </w:t>
      </w:r>
      <w:r w:rsidR="00FA112C" w:rsidRPr="00DF1196">
        <w:t xml:space="preserve">a subject </w:t>
      </w:r>
      <w:r w:rsidR="00FA112C">
        <w:t xml:space="preserve">matter </w:t>
      </w:r>
      <w:r w:rsidR="00FA112C" w:rsidRPr="00DF1196">
        <w:t xml:space="preserve">of the verification and </w:t>
      </w:r>
      <w:r w:rsidR="00FA112C">
        <w:t xml:space="preserve">the </w:t>
      </w:r>
      <w:r w:rsidR="00FA112C" w:rsidRPr="00DF1196">
        <w:t xml:space="preserve">consequent certification </w:t>
      </w:r>
      <w:r w:rsidR="00FA112C">
        <w:t>is the proof of expenditure such as an invoice, bank transfer, etc. T</w:t>
      </w:r>
      <w:r w:rsidR="00962C85" w:rsidRPr="00DF1196">
        <w:t>he</w:t>
      </w:r>
      <w:r w:rsidR="00753BCC" w:rsidRPr="00DF1196">
        <w:t xml:space="preserve"> CA, for certification purposes, should refer to section </w:t>
      </w:r>
      <w:r w:rsidR="00612ACA" w:rsidRPr="00DF1196">
        <w:t>3</w:t>
      </w:r>
      <w:r w:rsidR="005A6F96">
        <w:t>.3</w:t>
      </w:r>
      <w:r w:rsidR="0080437A" w:rsidRPr="00DF1196">
        <w:t xml:space="preserve"> </w:t>
      </w:r>
      <w:r w:rsidR="00753BCC" w:rsidRPr="00DF1196">
        <w:t xml:space="preserve">of the Financial Guidance for more details and guidelines on </w:t>
      </w:r>
      <w:r w:rsidR="00717284" w:rsidRPr="00DF1196">
        <w:t>expend</w:t>
      </w:r>
      <w:r w:rsidR="005A6F96">
        <w:t xml:space="preserve">itures verification </w:t>
      </w:r>
      <w:r w:rsidR="00612ACA" w:rsidRPr="00DF1196">
        <w:t>methodology</w:t>
      </w:r>
    </w:p>
    <w:p w14:paraId="07637906" w14:textId="71D33A2A" w:rsidR="00753BCC" w:rsidRDefault="00790E08" w:rsidP="009F01EE">
      <w:pPr>
        <w:pStyle w:val="ListParagraph"/>
        <w:numPr>
          <w:ilvl w:val="0"/>
          <w:numId w:val="36"/>
        </w:numPr>
        <w:spacing w:before="0"/>
        <w:ind w:left="284" w:hanging="284"/>
        <w:contextualSpacing w:val="0"/>
      </w:pPr>
      <w:r>
        <w:t>O</w:t>
      </w:r>
      <w:r w:rsidR="00717284" w:rsidRPr="00DF1196">
        <w:t xml:space="preserve">f a </w:t>
      </w:r>
      <w:r w:rsidR="00753BCC" w:rsidRPr="00DF1196">
        <w:t xml:space="preserve">re-granting </w:t>
      </w:r>
      <w:r w:rsidR="00717284" w:rsidRPr="00DF1196">
        <w:t xml:space="preserve">nature </w:t>
      </w:r>
      <w:r w:rsidR="00753BCC" w:rsidRPr="00DF1196">
        <w:t xml:space="preserve">(e.g. advance payments </w:t>
      </w:r>
      <w:r w:rsidR="00561139" w:rsidRPr="00DF1196">
        <w:t xml:space="preserve">to </w:t>
      </w:r>
      <w:r w:rsidR="00753BCC" w:rsidRPr="00DF1196">
        <w:t xml:space="preserve">the </w:t>
      </w:r>
      <w:r w:rsidR="003134A1" w:rsidRPr="00DF1196">
        <w:t>PP</w:t>
      </w:r>
      <w:r w:rsidR="00753BCC" w:rsidRPr="00DF1196">
        <w:t>s</w:t>
      </w:r>
      <w:r w:rsidR="00717284" w:rsidRPr="00DF1196">
        <w:t>)</w:t>
      </w:r>
      <w:r w:rsidR="005F3998" w:rsidRPr="00DF1196">
        <w:t xml:space="preserve">: </w:t>
      </w:r>
      <w:r w:rsidR="00A95C9A" w:rsidRPr="00DF1196">
        <w:t xml:space="preserve">in this case, </w:t>
      </w:r>
      <w:r w:rsidR="00717284" w:rsidRPr="00DF1196">
        <w:t xml:space="preserve">a subject </w:t>
      </w:r>
      <w:r w:rsidR="005A6F96">
        <w:t xml:space="preserve">matter </w:t>
      </w:r>
      <w:r w:rsidR="00717284" w:rsidRPr="00DF1196">
        <w:t xml:space="preserve">of </w:t>
      </w:r>
      <w:r w:rsidR="00612ACA" w:rsidRPr="00DF1196">
        <w:t xml:space="preserve">the </w:t>
      </w:r>
      <w:r w:rsidR="00717284" w:rsidRPr="00DF1196">
        <w:t xml:space="preserve">verification </w:t>
      </w:r>
      <w:r w:rsidR="005F3998" w:rsidRPr="00DF1196">
        <w:t xml:space="preserve">and </w:t>
      </w:r>
      <w:r w:rsidR="005A6F96">
        <w:t xml:space="preserve">the </w:t>
      </w:r>
      <w:r w:rsidR="005F3998" w:rsidRPr="00DF1196">
        <w:t xml:space="preserve">consequent certification </w:t>
      </w:r>
      <w:r w:rsidR="003C6A95">
        <w:t>is limited to a bank transfer, project contract, etc.</w:t>
      </w:r>
    </w:p>
    <w:p w14:paraId="30489B26" w14:textId="50A9ABA7" w:rsidR="00590372" w:rsidRPr="00AC7BCF" w:rsidRDefault="00590372" w:rsidP="00590372">
      <w:pPr>
        <w:spacing w:before="0"/>
        <w:rPr>
          <w:b/>
        </w:rPr>
      </w:pPr>
      <w:r w:rsidRPr="00590372">
        <w:rPr>
          <w:b/>
        </w:rPr>
        <w:t xml:space="preserve">Procedures: </w:t>
      </w:r>
      <w:r w:rsidRPr="0043330F">
        <w:rPr>
          <w:rFonts w:cs="Times New Roman"/>
          <w:color w:val="000000"/>
        </w:rPr>
        <w:t xml:space="preserve">The </w:t>
      </w:r>
      <w:r>
        <w:rPr>
          <w:rFonts w:cs="Times New Roman"/>
          <w:color w:val="000000"/>
        </w:rPr>
        <w:t xml:space="preserve">procedures </w:t>
      </w:r>
      <w:r w:rsidRPr="0043330F">
        <w:rPr>
          <w:rFonts w:cs="Times New Roman"/>
          <w:color w:val="000000"/>
        </w:rPr>
        <w:t xml:space="preserve">used by the </w:t>
      </w:r>
      <w:r>
        <w:rPr>
          <w:rFonts w:cs="Times New Roman"/>
          <w:color w:val="000000"/>
        </w:rPr>
        <w:t>CA</w:t>
      </w:r>
      <w:r w:rsidRPr="0043330F">
        <w:rPr>
          <w:rFonts w:cs="Times New Roman"/>
          <w:color w:val="000000"/>
        </w:rPr>
        <w:t xml:space="preserve"> should </w:t>
      </w:r>
      <w:r>
        <w:rPr>
          <w:rFonts w:cs="Times New Roman"/>
          <w:color w:val="000000"/>
        </w:rPr>
        <w:t>be set out in procedures manual</w:t>
      </w:r>
      <w:r w:rsidRPr="0043330F">
        <w:rPr>
          <w:rFonts w:cs="Times New Roman"/>
          <w:color w:val="000000"/>
        </w:rPr>
        <w:t>, identifying which points are checked and referring to checklists to be used</w:t>
      </w:r>
      <w:r>
        <w:rPr>
          <w:rFonts w:cs="Times New Roman"/>
          <w:color w:val="000000"/>
        </w:rPr>
        <w:t>.</w:t>
      </w:r>
    </w:p>
    <w:p w14:paraId="456FFB1B" w14:textId="77777777" w:rsidR="00F5477F" w:rsidRDefault="00AC7BCF" w:rsidP="00590372">
      <w:pPr>
        <w:spacing w:before="0"/>
        <w:rPr>
          <w:rFonts w:cs="Times New Roman"/>
          <w:color w:val="000000"/>
        </w:rPr>
      </w:pPr>
      <w:r>
        <w:rPr>
          <w:rFonts w:cs="Times New Roman"/>
          <w:color w:val="000000"/>
        </w:rPr>
        <w:t xml:space="preserve">When designing the certification process, following main questions should be taken into consideration: </w:t>
      </w:r>
    </w:p>
    <w:p w14:paraId="030C99B4" w14:textId="36ECC7FD" w:rsidR="000E6EB5" w:rsidRDefault="00F5477F" w:rsidP="00590372">
      <w:pPr>
        <w:spacing w:before="0"/>
        <w:rPr>
          <w:noProof/>
          <w:lang w:eastAsia="en-GB"/>
        </w:rPr>
      </w:pPr>
      <w:r>
        <w:rPr>
          <w:noProof/>
          <w:lang w:eastAsia="en-GB"/>
        </w:rPr>
        <w:drawing>
          <wp:inline distT="0" distB="0" distL="0" distR="0" wp14:anchorId="14B66C62" wp14:editId="75F74003">
            <wp:extent cx="6130456" cy="321945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34824" cy="3221744"/>
                    </a:xfrm>
                    <a:prstGeom prst="rect">
                      <a:avLst/>
                    </a:prstGeom>
                  </pic:spPr>
                </pic:pic>
              </a:graphicData>
            </a:graphic>
          </wp:inline>
        </w:drawing>
      </w:r>
      <w:r>
        <w:rPr>
          <w:noProof/>
          <w:lang w:eastAsia="en-GB"/>
        </w:rPr>
        <w:t xml:space="preserve">  </w:t>
      </w:r>
    </w:p>
    <w:p w14:paraId="737F53FC" w14:textId="151590E1" w:rsidR="00790E08" w:rsidRDefault="00950EAE" w:rsidP="001B2932">
      <w:pPr>
        <w:spacing w:before="0"/>
        <w:rPr>
          <w:rFonts w:cs="TimesNewRoman"/>
        </w:rPr>
      </w:pPr>
      <w:r w:rsidRPr="00CC0FEF">
        <w:rPr>
          <w:b/>
          <w:noProof/>
          <w:lang w:eastAsia="en-GB"/>
        </w:rPr>
        <mc:AlternateContent>
          <mc:Choice Requires="wps">
            <w:drawing>
              <wp:anchor distT="0" distB="0" distL="114300" distR="114300" simplePos="0" relativeHeight="251781120" behindDoc="1" locked="0" layoutInCell="1" allowOverlap="1" wp14:anchorId="76C5D6F7" wp14:editId="2FBB8E91">
                <wp:simplePos x="0" y="0"/>
                <wp:positionH relativeFrom="margin">
                  <wp:posOffset>2952750</wp:posOffset>
                </wp:positionH>
                <wp:positionV relativeFrom="paragraph">
                  <wp:posOffset>24130</wp:posOffset>
                </wp:positionV>
                <wp:extent cx="3048000" cy="1647825"/>
                <wp:effectExtent l="0" t="0" r="0" b="9525"/>
                <wp:wrapTight wrapText="left">
                  <wp:wrapPolygon edited="0">
                    <wp:start x="0" y="0"/>
                    <wp:lineTo x="0" y="21475"/>
                    <wp:lineTo x="21465" y="21475"/>
                    <wp:lineTo x="21465" y="0"/>
                    <wp:lineTo x="0" y="0"/>
                  </wp:wrapPolygon>
                </wp:wrapTight>
                <wp:docPr id="229" name="Flowchart: Process 229"/>
                <wp:cNvGraphicFramePr/>
                <a:graphic xmlns:a="http://schemas.openxmlformats.org/drawingml/2006/main">
                  <a:graphicData uri="http://schemas.microsoft.com/office/word/2010/wordprocessingShape">
                    <wps:wsp>
                      <wps:cNvSpPr/>
                      <wps:spPr>
                        <a:xfrm>
                          <a:off x="0" y="0"/>
                          <a:ext cx="3048000" cy="1647825"/>
                        </a:xfrm>
                        <a:prstGeom prst="flowChartProcess">
                          <a:avLst/>
                        </a:prstGeom>
                        <a:solidFill>
                          <a:schemeClr val="accent1">
                            <a:lumMod val="20000"/>
                            <a:lumOff val="80000"/>
                          </a:schemeClr>
                        </a:solidFill>
                        <a:ln w="9525">
                          <a:noFill/>
                        </a:ln>
                        <a:effectLst/>
                      </wps:spPr>
                      <wps:txbx>
                        <w:txbxContent>
                          <w:p w14:paraId="42C23C46" w14:textId="77777777" w:rsidR="00A87AB3" w:rsidRPr="000A63D8" w:rsidRDefault="00A87AB3" w:rsidP="00790E08">
                            <w:pPr>
                              <w:jc w:val="left"/>
                              <w:rPr>
                                <w:color w:val="C45911" w:themeColor="accent2" w:themeShade="BF"/>
                                <w:sz w:val="18"/>
                                <w:szCs w:val="18"/>
                              </w:rPr>
                            </w:pPr>
                            <w:r w:rsidRPr="000A63D8">
                              <w:rPr>
                                <w:b/>
                                <w:bCs/>
                                <w:color w:val="C45911" w:themeColor="accent2" w:themeShade="BF"/>
                                <w:sz w:val="18"/>
                                <w:szCs w:val="18"/>
                              </w:rPr>
                              <w:t>Good practice:</w:t>
                            </w:r>
                            <w:r w:rsidRPr="000A63D8">
                              <w:rPr>
                                <w:color w:val="C45911" w:themeColor="accent2" w:themeShade="BF"/>
                                <w:sz w:val="18"/>
                                <w:szCs w:val="18"/>
                              </w:rPr>
                              <w:t xml:space="preserve"> </w:t>
                            </w:r>
                          </w:p>
                          <w:p w14:paraId="308F2F1C" w14:textId="77777777" w:rsidR="00A87AB3" w:rsidRPr="000A63D8" w:rsidRDefault="00A87AB3" w:rsidP="00790E08">
                            <w:pPr>
                              <w:spacing w:before="0"/>
                              <w:jc w:val="left"/>
                              <w:rPr>
                                <w:color w:val="C45911" w:themeColor="accent2" w:themeShade="BF"/>
                                <w:sz w:val="18"/>
                                <w:szCs w:val="18"/>
                              </w:rPr>
                            </w:pPr>
                            <w:r>
                              <w:rPr>
                                <w:i/>
                                <w:color w:val="C45911" w:themeColor="accent2" w:themeShade="BF"/>
                                <w:sz w:val="18"/>
                                <w:szCs w:val="18"/>
                              </w:rPr>
                              <w:t xml:space="preserve">IFR </w:t>
                            </w:r>
                            <w:r w:rsidRPr="000A63D8">
                              <w:rPr>
                                <w:i/>
                                <w:color w:val="C45911" w:themeColor="accent2" w:themeShade="BF"/>
                                <w:sz w:val="18"/>
                                <w:szCs w:val="18"/>
                              </w:rPr>
                              <w:t xml:space="preserve">declaration </w:t>
                            </w:r>
                            <w:r>
                              <w:rPr>
                                <w:i/>
                                <w:color w:val="C45911" w:themeColor="accent2" w:themeShade="BF"/>
                                <w:sz w:val="18"/>
                                <w:szCs w:val="18"/>
                              </w:rPr>
                              <w:t>by the PO</w:t>
                            </w:r>
                          </w:p>
                          <w:p w14:paraId="000F0B4F" w14:textId="77777777" w:rsidR="00A87AB3" w:rsidRPr="000A63D8" w:rsidRDefault="00A87AB3" w:rsidP="00790E08">
                            <w:pPr>
                              <w:autoSpaceDE w:val="0"/>
                              <w:autoSpaceDN w:val="0"/>
                              <w:adjustRightInd w:val="0"/>
                              <w:rPr>
                                <w:rFonts w:cs="Times New Roman"/>
                                <w:color w:val="000000"/>
                                <w:sz w:val="18"/>
                                <w:szCs w:val="18"/>
                              </w:rPr>
                            </w:pPr>
                            <w:r>
                              <w:rPr>
                                <w:rFonts w:cs="TimesNewRoman"/>
                                <w:sz w:val="18"/>
                                <w:szCs w:val="18"/>
                              </w:rPr>
                              <w:t xml:space="preserve">The </w:t>
                            </w:r>
                            <w:r w:rsidRPr="000A63D8">
                              <w:rPr>
                                <w:rFonts w:cs="TimesNewRoman"/>
                                <w:sz w:val="18"/>
                                <w:szCs w:val="18"/>
                              </w:rPr>
                              <w:t xml:space="preserve">PO </w:t>
                            </w:r>
                            <w:r>
                              <w:rPr>
                                <w:rFonts w:cs="TimesNewRoman"/>
                                <w:sz w:val="18"/>
                                <w:szCs w:val="18"/>
                              </w:rPr>
                              <w:t>can be required to formally declare</w:t>
                            </w:r>
                            <w:r w:rsidRPr="000A63D8">
                              <w:rPr>
                                <w:rFonts w:cs="TimesNewRoman"/>
                                <w:sz w:val="18"/>
                                <w:szCs w:val="18"/>
                              </w:rPr>
                              <w:t xml:space="preserve"> to the CA that the information provided is true, correct and complete, that the expenditure contained in the IFR has been subject to controls in accordance with the established MCS, and that the PO has reasonable assurance that the expenditure is free of material error.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5D6F7" id="_x0000_t109" coordsize="21600,21600" o:spt="109" path="m,l,21600r21600,l21600,xe">
                <v:stroke joinstyle="miter"/>
                <v:path gradientshapeok="t" o:connecttype="rect"/>
              </v:shapetype>
              <v:shape id="Flowchart: Process 229" o:spid="_x0000_s1043" type="#_x0000_t109" style="position:absolute;left:0;text-align:left;margin-left:232.5pt;margin-top:1.9pt;width:240pt;height:129.75pt;z-index:-251535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" fillcolor="#deeaf6 [660]" stroked="f">
                <v:textbox>
                  <w:txbxContent>
                    <w:p w14:paraId="42C23C46" w14:textId="77777777" w:rsidR="00A87AB3" w:rsidRPr="000A63D8" w:rsidRDefault="00A87AB3" w:rsidP="00790E08">
                      <w:pPr>
                        <w:jc w:val="left"/>
                        <w:rPr>
                          <w:color w:val="C45911" w:themeColor="accent2" w:themeShade="BF"/>
                          <w:sz w:val="18"/>
                          <w:szCs w:val="18"/>
                        </w:rPr>
                      </w:pPr>
                      <w:r w:rsidRPr="000A63D8">
                        <w:rPr>
                          <w:b/>
                          <w:bCs/>
                          <w:color w:val="C45911" w:themeColor="accent2" w:themeShade="BF"/>
                          <w:sz w:val="18"/>
                          <w:szCs w:val="18"/>
                        </w:rPr>
                        <w:t>Good practice:</w:t>
                      </w:r>
                      <w:r w:rsidRPr="000A63D8">
                        <w:rPr>
                          <w:color w:val="C45911" w:themeColor="accent2" w:themeShade="BF"/>
                          <w:sz w:val="18"/>
                          <w:szCs w:val="18"/>
                        </w:rPr>
                        <w:t xml:space="preserve"> </w:t>
                      </w:r>
                    </w:p>
                    <w:p w14:paraId="308F2F1C" w14:textId="77777777" w:rsidR="00A87AB3" w:rsidRPr="000A63D8" w:rsidRDefault="00A87AB3" w:rsidP="00790E08">
                      <w:pPr>
                        <w:spacing w:before="0"/>
                        <w:jc w:val="left"/>
                        <w:rPr>
                          <w:color w:val="C45911" w:themeColor="accent2" w:themeShade="BF"/>
                          <w:sz w:val="18"/>
                          <w:szCs w:val="18"/>
                        </w:rPr>
                      </w:pPr>
                      <w:r>
                        <w:rPr>
                          <w:i/>
                          <w:color w:val="C45911" w:themeColor="accent2" w:themeShade="BF"/>
                          <w:sz w:val="18"/>
                          <w:szCs w:val="18"/>
                        </w:rPr>
                        <w:t xml:space="preserve">IFR </w:t>
                      </w:r>
                      <w:r w:rsidRPr="000A63D8">
                        <w:rPr>
                          <w:i/>
                          <w:color w:val="C45911" w:themeColor="accent2" w:themeShade="BF"/>
                          <w:sz w:val="18"/>
                          <w:szCs w:val="18"/>
                        </w:rPr>
                        <w:t xml:space="preserve">declaration </w:t>
                      </w:r>
                      <w:r>
                        <w:rPr>
                          <w:i/>
                          <w:color w:val="C45911" w:themeColor="accent2" w:themeShade="BF"/>
                          <w:sz w:val="18"/>
                          <w:szCs w:val="18"/>
                        </w:rPr>
                        <w:t>by the PO</w:t>
                      </w:r>
                    </w:p>
                    <w:p w14:paraId="000F0B4F" w14:textId="77777777" w:rsidR="00A87AB3" w:rsidRPr="000A63D8" w:rsidRDefault="00A87AB3" w:rsidP="00790E08">
                      <w:pPr>
                        <w:autoSpaceDE w:val="0"/>
                        <w:autoSpaceDN w:val="0"/>
                        <w:adjustRightInd w:val="0"/>
                        <w:rPr>
                          <w:rFonts w:cs="Times New Roman"/>
                          <w:color w:val="000000"/>
                          <w:sz w:val="18"/>
                          <w:szCs w:val="18"/>
                        </w:rPr>
                      </w:pPr>
                      <w:r>
                        <w:rPr>
                          <w:rFonts w:cs="TimesNewRoman"/>
                          <w:sz w:val="18"/>
                          <w:szCs w:val="18"/>
                        </w:rPr>
                        <w:t xml:space="preserve">The </w:t>
                      </w:r>
                      <w:r w:rsidRPr="000A63D8">
                        <w:rPr>
                          <w:rFonts w:cs="TimesNewRoman"/>
                          <w:sz w:val="18"/>
                          <w:szCs w:val="18"/>
                        </w:rPr>
                        <w:t xml:space="preserve">PO </w:t>
                      </w:r>
                      <w:r>
                        <w:rPr>
                          <w:rFonts w:cs="TimesNewRoman"/>
                          <w:sz w:val="18"/>
                          <w:szCs w:val="18"/>
                        </w:rPr>
                        <w:t>can be required to formally declare</w:t>
                      </w:r>
                      <w:r w:rsidRPr="000A63D8">
                        <w:rPr>
                          <w:rFonts w:cs="TimesNewRoman"/>
                          <w:sz w:val="18"/>
                          <w:szCs w:val="18"/>
                        </w:rPr>
                        <w:t xml:space="preserve"> to the CA that the information provided is true, correct and complete, that the expenditure contained in the IFR has been subject to controls in accordance with the established MCS, and that the PO has reasonable assurance that the expenditure is free of material error.</w:t>
                      </w:r>
                    </w:p>
                  </w:txbxContent>
                </v:textbox>
                <w10:wrap type="tight" side="left" anchorx="margin"/>
              </v:shape>
            </w:pict>
          </mc:Fallback>
        </mc:AlternateContent>
      </w:r>
      <w:r w:rsidR="00790E08" w:rsidRPr="00CC0FEF">
        <w:rPr>
          <w:rFonts w:cs="TimesNewRoman"/>
          <w:b/>
        </w:rPr>
        <w:t>Records:</w:t>
      </w:r>
      <w:r w:rsidR="00790E08">
        <w:rPr>
          <w:rFonts w:cs="TimesNewRoman"/>
        </w:rPr>
        <w:t xml:space="preserve"> T</w:t>
      </w:r>
      <w:r w:rsidR="00790E08" w:rsidRPr="00B45F79">
        <w:rPr>
          <w:rFonts w:cs="TimesNewRoman"/>
        </w:rPr>
        <w:t>o be able to conclude that it has sufficient assurance to submit to the Donors a certified IFR</w:t>
      </w:r>
      <w:r w:rsidR="00790E08">
        <w:rPr>
          <w:rFonts w:cs="TimesNewRoman"/>
        </w:rPr>
        <w:t>,</w:t>
      </w:r>
      <w:r w:rsidR="00790E08" w:rsidRPr="00B45F79">
        <w:rPr>
          <w:rFonts w:cs="TimesNewRoman"/>
        </w:rPr>
        <w:t xml:space="preserve"> </w:t>
      </w:r>
      <w:r w:rsidR="00790E08">
        <w:rPr>
          <w:rFonts w:cs="TimesNewRoman"/>
        </w:rPr>
        <w:t>t</w:t>
      </w:r>
      <w:r w:rsidR="00790E08" w:rsidRPr="00B45F79">
        <w:rPr>
          <w:rFonts w:cs="TimesNewRoman"/>
        </w:rPr>
        <w:t xml:space="preserve">he CA must have </w:t>
      </w:r>
      <w:r w:rsidR="00790E08">
        <w:rPr>
          <w:rFonts w:cs="TimesNewRoman"/>
        </w:rPr>
        <w:t xml:space="preserve">an </w:t>
      </w:r>
      <w:r w:rsidR="00790E08" w:rsidRPr="00B45F79">
        <w:rPr>
          <w:rFonts w:cs="TimesNewRoman"/>
        </w:rPr>
        <w:t xml:space="preserve">adequate evidence concerning the correctness, legality and regularity of </w:t>
      </w:r>
      <w:r w:rsidR="00790E08">
        <w:rPr>
          <w:rFonts w:cs="TimesNewRoman"/>
        </w:rPr>
        <w:t xml:space="preserve">the </w:t>
      </w:r>
      <w:r w:rsidR="00790E08" w:rsidRPr="00090A7E">
        <w:t>eligible expenditure</w:t>
      </w:r>
      <w:r w:rsidR="00790E08" w:rsidRPr="00B45F79">
        <w:rPr>
          <w:rFonts w:cs="TimesNewRoman"/>
        </w:rPr>
        <w:t>. The evidence required and procedures to ensure that the CA receives it on a regular and timely basis should be defined ex-ante</w:t>
      </w:r>
      <w:r w:rsidR="005A6F96">
        <w:rPr>
          <w:rFonts w:cs="TimesNewRoman"/>
        </w:rPr>
        <w:t xml:space="preserve"> in the MCS</w:t>
      </w:r>
      <w:r w:rsidR="00790E08" w:rsidRPr="00B45F79">
        <w:rPr>
          <w:rFonts w:cs="TimesNewRoman"/>
        </w:rPr>
        <w:t xml:space="preserve"> and communicated to the POs. </w:t>
      </w:r>
    </w:p>
    <w:p w14:paraId="3358D880" w14:textId="47B6AE0D" w:rsidR="005A6F96" w:rsidRPr="00B45F79" w:rsidRDefault="005A6F96" w:rsidP="00790E08">
      <w:pPr>
        <w:autoSpaceDE w:val="0"/>
        <w:autoSpaceDN w:val="0"/>
        <w:adjustRightInd w:val="0"/>
        <w:rPr>
          <w:rFonts w:cs="TimesNewRoman"/>
        </w:rPr>
      </w:pPr>
      <w:r>
        <w:t xml:space="preserve">With reference to documenting the certification process, the CA </w:t>
      </w:r>
      <w:r w:rsidRPr="00DF1196">
        <w:t>should refer to section 3</w:t>
      </w:r>
      <w:r>
        <w:t>.3</w:t>
      </w:r>
      <w:r w:rsidRPr="00DF1196">
        <w:t xml:space="preserve"> of the Financial Guidance for more details on </w:t>
      </w:r>
      <w:r>
        <w:t xml:space="preserve">the records. </w:t>
      </w:r>
    </w:p>
    <w:p w14:paraId="6D94421E" w14:textId="19E7788A" w:rsidR="00EA0104" w:rsidRPr="009B7F14" w:rsidRDefault="00B37EF1" w:rsidP="00920571">
      <w:pPr>
        <w:pStyle w:val="Heading2"/>
      </w:pPr>
      <w:bookmarkStart w:id="60" w:name="_Ref461527835"/>
      <w:bookmarkStart w:id="61" w:name="_Toc484174844"/>
      <w:r>
        <w:rPr>
          <w:rFonts w:cs="Times New Roman"/>
          <w:color w:val="000000"/>
        </w:rPr>
        <w:t>Compliance based monitoring:</w:t>
      </w:r>
      <w:r w:rsidRPr="009B7F14">
        <w:t xml:space="preserve"> </w:t>
      </w:r>
      <w:r>
        <w:t>v</w:t>
      </w:r>
      <w:r w:rsidR="00AE1248" w:rsidRPr="009B7F14">
        <w:t>erification</w:t>
      </w:r>
      <w:r w:rsidR="00250384">
        <w:t>s</w:t>
      </w:r>
      <w:r w:rsidR="00AE1248" w:rsidRPr="009B7F14">
        <w:t xml:space="preserve"> by the PO</w:t>
      </w:r>
      <w:r w:rsidR="001A05D8" w:rsidRPr="009B7F14">
        <w:t xml:space="preserve"> (</w:t>
      </w:r>
      <w:r w:rsidR="00D44C6E">
        <w:t>Reg. Art. </w:t>
      </w:r>
      <w:r w:rsidR="001A05D8" w:rsidRPr="009B7F14">
        <w:t>5</w:t>
      </w:r>
      <w:r w:rsidR="00EA0104" w:rsidRPr="009B7F14">
        <w:t>.</w:t>
      </w:r>
      <w:r w:rsidR="001A05D8" w:rsidRPr="009B7F14">
        <w:t>6</w:t>
      </w:r>
      <w:r w:rsidR="00EA0104" w:rsidRPr="009B7F14">
        <w:t>)</w:t>
      </w:r>
      <w:bookmarkEnd w:id="60"/>
      <w:bookmarkEnd w:id="61"/>
    </w:p>
    <w:p w14:paraId="6BB97BA5" w14:textId="77777777" w:rsidR="0069698B" w:rsidRPr="009B7F14" w:rsidRDefault="0069698B" w:rsidP="00920571">
      <w:pPr>
        <w:pStyle w:val="Heading3"/>
      </w:pPr>
      <w:r w:rsidRPr="009B7F14">
        <w:t>Purpose</w:t>
      </w:r>
    </w:p>
    <w:p w14:paraId="2BEB8004" w14:textId="3B57A024" w:rsidR="00250384" w:rsidRPr="00062196" w:rsidRDefault="00250384" w:rsidP="00250384">
      <w:pPr>
        <w:autoSpaceDE w:val="0"/>
        <w:autoSpaceDN w:val="0"/>
        <w:adjustRightInd w:val="0"/>
        <w:rPr>
          <w:rFonts w:cs="Times New Roman"/>
          <w:color w:val="000000"/>
        </w:rPr>
      </w:pPr>
      <w:r w:rsidRPr="00062196">
        <w:rPr>
          <w:rFonts w:cs="Times New Roman"/>
          <w:color w:val="000000"/>
        </w:rPr>
        <w:t xml:space="preserve">Based on </w:t>
      </w:r>
      <w:r>
        <w:rPr>
          <w:rFonts w:cs="Times New Roman"/>
          <w:color w:val="000000"/>
        </w:rPr>
        <w:t>the Regulations</w:t>
      </w:r>
      <w:r w:rsidRPr="00062196">
        <w:rPr>
          <w:rFonts w:cs="Times New Roman"/>
          <w:color w:val="000000"/>
        </w:rPr>
        <w:t xml:space="preserve">, </w:t>
      </w:r>
      <w:r>
        <w:rPr>
          <w:rFonts w:cs="Times New Roman"/>
          <w:color w:val="000000"/>
        </w:rPr>
        <w:t xml:space="preserve">the </w:t>
      </w:r>
      <w:r w:rsidRPr="00062196">
        <w:rPr>
          <w:rFonts w:cs="Times New Roman"/>
          <w:color w:val="000000"/>
        </w:rPr>
        <w:t xml:space="preserve">verifications </w:t>
      </w:r>
      <w:r>
        <w:rPr>
          <w:rFonts w:cs="Times New Roman"/>
          <w:color w:val="000000"/>
        </w:rPr>
        <w:t>to be carried out by the PO</w:t>
      </w:r>
      <w:r w:rsidRPr="00062196">
        <w:rPr>
          <w:rFonts w:cs="Times New Roman"/>
          <w:color w:val="000000"/>
        </w:rPr>
        <w:t xml:space="preserve"> (compliance-based monitoring) should take a form of:</w:t>
      </w:r>
    </w:p>
    <w:p w14:paraId="049AF505" w14:textId="3C9D93EB" w:rsidR="00250384" w:rsidRDefault="00250384" w:rsidP="009F01EE">
      <w:pPr>
        <w:pStyle w:val="ListParagraph"/>
        <w:numPr>
          <w:ilvl w:val="0"/>
          <w:numId w:val="36"/>
        </w:numPr>
        <w:spacing w:before="0"/>
        <w:ind w:left="284" w:hanging="284"/>
        <w:contextualSpacing w:val="0"/>
      </w:pPr>
      <w:r w:rsidRPr="00062196">
        <w:t>Administrative verifications in respect of incurred expenditur</w:t>
      </w:r>
      <w:r>
        <w:t xml:space="preserve">e reported by </w:t>
      </w:r>
      <w:r w:rsidR="008F0B35">
        <w:t>PPs</w:t>
      </w:r>
    </w:p>
    <w:p w14:paraId="47B672F1" w14:textId="77777777" w:rsidR="00250384" w:rsidRPr="004C13BD" w:rsidRDefault="00250384" w:rsidP="009F01EE">
      <w:pPr>
        <w:pStyle w:val="ListParagraph"/>
        <w:numPr>
          <w:ilvl w:val="0"/>
          <w:numId w:val="36"/>
        </w:numPr>
        <w:spacing w:before="0"/>
        <w:ind w:left="284" w:hanging="284"/>
        <w:contextualSpacing w:val="0"/>
      </w:pPr>
      <w:r>
        <w:t>On-</w:t>
      </w:r>
      <w:r w:rsidRPr="004C13BD">
        <w:t>the</w:t>
      </w:r>
      <w:r>
        <w:t>-spot verifications of projects</w:t>
      </w:r>
    </w:p>
    <w:p w14:paraId="45C967CC" w14:textId="6E921079" w:rsidR="00716E75" w:rsidRPr="009B7F14" w:rsidRDefault="008A2B23" w:rsidP="00376576">
      <w:pPr>
        <w:autoSpaceDE w:val="0"/>
        <w:autoSpaceDN w:val="0"/>
        <w:adjustRightInd w:val="0"/>
        <w:rPr>
          <w:rFonts w:cs="Times New Roman"/>
          <w:color w:val="000000"/>
        </w:rPr>
      </w:pPr>
      <w:r>
        <w:rPr>
          <w:rFonts w:cs="Times New Roman"/>
          <w:color w:val="000000"/>
        </w:rPr>
        <w:t xml:space="preserve">The </w:t>
      </w:r>
      <w:r w:rsidR="00716E75" w:rsidRPr="009B7F14">
        <w:rPr>
          <w:rFonts w:cs="Times New Roman"/>
          <w:color w:val="000000"/>
        </w:rPr>
        <w:t>verifications should form an integral part of the internal control system of the PO and, where properly implemented should also contribute to the prevention and detection of fraud.</w:t>
      </w:r>
    </w:p>
    <w:p w14:paraId="5A9FC484" w14:textId="470FA177" w:rsidR="00716E75" w:rsidRPr="009B7F14" w:rsidRDefault="00716E75" w:rsidP="00376576">
      <w:pPr>
        <w:autoSpaceDE w:val="0"/>
        <w:autoSpaceDN w:val="0"/>
        <w:adjustRightInd w:val="0"/>
        <w:rPr>
          <w:rFonts w:cs="Times New Roman"/>
          <w:color w:val="000000"/>
        </w:rPr>
      </w:pPr>
      <w:r w:rsidRPr="009B7F14">
        <w:rPr>
          <w:rFonts w:cs="Times New Roman"/>
          <w:color w:val="000000"/>
        </w:rPr>
        <w:t xml:space="preserve">Since a scope of </w:t>
      </w:r>
      <w:r w:rsidR="008A2B23">
        <w:rPr>
          <w:rFonts w:cs="Times New Roman"/>
          <w:color w:val="000000"/>
        </w:rPr>
        <w:t>the expenditure</w:t>
      </w:r>
      <w:r w:rsidRPr="009B7F14">
        <w:rPr>
          <w:rFonts w:cs="Times New Roman"/>
          <w:color w:val="000000"/>
        </w:rPr>
        <w:t xml:space="preserve"> certification done by the CA does not cover </w:t>
      </w:r>
      <w:r w:rsidR="00C844DB">
        <w:rPr>
          <w:rFonts w:cs="Times New Roman"/>
          <w:color w:val="000000"/>
        </w:rPr>
        <w:t xml:space="preserve">costs incurred </w:t>
      </w:r>
      <w:r w:rsidRPr="009B7F14">
        <w:rPr>
          <w:rFonts w:cs="Times New Roman"/>
          <w:color w:val="000000"/>
        </w:rPr>
        <w:t>a</w:t>
      </w:r>
      <w:r w:rsidR="002445CA">
        <w:rPr>
          <w:rFonts w:cs="Times New Roman"/>
          <w:color w:val="000000"/>
        </w:rPr>
        <w:t>t projects’ level but only funds transferred</w:t>
      </w:r>
      <w:r w:rsidRPr="009B7F14">
        <w:rPr>
          <w:rFonts w:cs="Times New Roman"/>
          <w:color w:val="000000"/>
        </w:rPr>
        <w:t xml:space="preserve"> by the PO, the verifications </w:t>
      </w:r>
      <w:r w:rsidR="00250384">
        <w:rPr>
          <w:rFonts w:cs="Times New Roman"/>
          <w:color w:val="000000"/>
        </w:rPr>
        <w:t xml:space="preserve">by the PO </w:t>
      </w:r>
      <w:r w:rsidRPr="009B7F14">
        <w:rPr>
          <w:rFonts w:cs="Times New Roman"/>
          <w:color w:val="000000"/>
        </w:rPr>
        <w:t xml:space="preserve">are of a significant importance in the overall assurance process of legality and regularity of expenditures at projects’ level. </w:t>
      </w:r>
    </w:p>
    <w:p w14:paraId="25A8F791" w14:textId="4EDE638A" w:rsidR="0069698B" w:rsidRPr="009B7F14" w:rsidRDefault="0069698B" w:rsidP="00920571">
      <w:pPr>
        <w:pStyle w:val="Heading3"/>
      </w:pPr>
      <w:r w:rsidRPr="00BE1864">
        <w:t>Organisational</w:t>
      </w:r>
      <w:r w:rsidRPr="009B7F14">
        <w:t xml:space="preserve"> aspects</w:t>
      </w:r>
    </w:p>
    <w:p w14:paraId="5E2E3477" w14:textId="34CFA9A4" w:rsidR="00716E75" w:rsidRPr="009B7F14" w:rsidRDefault="00716E75" w:rsidP="00376576">
      <w:pPr>
        <w:autoSpaceDE w:val="0"/>
        <w:autoSpaceDN w:val="0"/>
        <w:adjustRightInd w:val="0"/>
        <w:rPr>
          <w:rFonts w:cs="Times New Roman"/>
          <w:color w:val="000000"/>
        </w:rPr>
      </w:pPr>
      <w:r w:rsidRPr="009B7F14">
        <w:rPr>
          <w:rFonts w:cs="ACaslon-Regular"/>
          <w:b/>
          <w:szCs w:val="20"/>
        </w:rPr>
        <w:t>Resources:</w:t>
      </w:r>
      <w:r w:rsidRPr="009B7F14">
        <w:rPr>
          <w:rFonts w:cs="Times New Roman"/>
          <w:color w:val="000000"/>
        </w:rPr>
        <w:t xml:space="preserve"> The PO is respo</w:t>
      </w:r>
      <w:r w:rsidR="002445CA">
        <w:rPr>
          <w:rFonts w:cs="Times New Roman"/>
          <w:color w:val="000000"/>
        </w:rPr>
        <w:t>nsible for</w:t>
      </w:r>
      <w:r w:rsidRPr="009B7F14">
        <w:rPr>
          <w:rFonts w:cs="Times New Roman"/>
          <w:color w:val="000000"/>
        </w:rPr>
        <w:t xml:space="preserve"> plan</w:t>
      </w:r>
      <w:r w:rsidR="002445CA">
        <w:rPr>
          <w:rFonts w:cs="Times New Roman"/>
          <w:color w:val="000000"/>
        </w:rPr>
        <w:t>ning</w:t>
      </w:r>
      <w:r w:rsidRPr="009B7F14">
        <w:rPr>
          <w:rFonts w:cs="Times New Roman"/>
          <w:color w:val="000000"/>
        </w:rPr>
        <w:t>, administer</w:t>
      </w:r>
      <w:r w:rsidR="002445CA">
        <w:rPr>
          <w:rFonts w:cs="Times New Roman"/>
          <w:color w:val="000000"/>
        </w:rPr>
        <w:t>ing</w:t>
      </w:r>
      <w:r w:rsidRPr="009B7F14">
        <w:rPr>
          <w:rFonts w:cs="Times New Roman"/>
          <w:color w:val="000000"/>
        </w:rPr>
        <w:t xml:space="preserve"> and assess</w:t>
      </w:r>
      <w:r w:rsidR="002445CA">
        <w:rPr>
          <w:rFonts w:cs="Times New Roman"/>
          <w:color w:val="000000"/>
        </w:rPr>
        <w:t>ing</w:t>
      </w:r>
      <w:r w:rsidRPr="009B7F14">
        <w:rPr>
          <w:rFonts w:cs="Times New Roman"/>
          <w:color w:val="000000"/>
        </w:rPr>
        <w:t xml:space="preserve"> its internal capacities to identify </w:t>
      </w:r>
      <w:r w:rsidR="00A81D30">
        <w:rPr>
          <w:rFonts w:cs="Times New Roman"/>
          <w:color w:val="000000"/>
        </w:rPr>
        <w:t>a</w:t>
      </w:r>
      <w:r w:rsidRPr="009B7F14">
        <w:rPr>
          <w:rFonts w:cs="Times New Roman"/>
          <w:color w:val="000000"/>
        </w:rPr>
        <w:t xml:space="preserve"> number and value of projects which can be appropriately managed. It should seek to have adequate human resources with an appropriate experience. In particular, the PO staff performing the verifications needs to have both</w:t>
      </w:r>
      <w:r w:rsidR="00A81D30">
        <w:rPr>
          <w:rFonts w:cs="Times New Roman"/>
          <w:color w:val="000000"/>
        </w:rPr>
        <w:t>:</w:t>
      </w:r>
      <w:r w:rsidRPr="009B7F14">
        <w:rPr>
          <w:rFonts w:cs="Times New Roman"/>
          <w:color w:val="000000"/>
        </w:rPr>
        <w:t xml:space="preserve"> skills as a controller and knowledge of national, E</w:t>
      </w:r>
      <w:r w:rsidR="008F0B35">
        <w:rPr>
          <w:rFonts w:cs="Times New Roman"/>
          <w:color w:val="000000"/>
        </w:rPr>
        <w:t>U</w:t>
      </w:r>
      <w:r w:rsidRPr="009B7F14">
        <w:rPr>
          <w:rFonts w:cs="Times New Roman"/>
          <w:color w:val="000000"/>
        </w:rPr>
        <w:t xml:space="preserve"> and EEA/Norway grants rules and regulations (</w:t>
      </w:r>
      <w:r w:rsidR="00A81D30" w:rsidRPr="00A81D30">
        <w:rPr>
          <w:rFonts w:cs="Times New Roman"/>
          <w:color w:val="000000"/>
        </w:rPr>
        <w:t>inter alia</w:t>
      </w:r>
      <w:r w:rsidR="00A81D30">
        <w:rPr>
          <w:rFonts w:cs="Times New Roman"/>
          <w:color w:val="000000"/>
        </w:rPr>
        <w:t>:</w:t>
      </w:r>
      <w:r w:rsidRPr="009B7F14">
        <w:rPr>
          <w:rFonts w:cs="Times New Roman"/>
          <w:color w:val="000000"/>
        </w:rPr>
        <w:t xml:space="preserve"> eligibility rules, state aid rules, public procurement rules, functioning of financial instruments). In situations where, due to </w:t>
      </w:r>
      <w:r w:rsidR="00A81D30">
        <w:rPr>
          <w:rFonts w:cs="Times New Roman"/>
          <w:color w:val="000000"/>
        </w:rPr>
        <w:t xml:space="preserve">a </w:t>
      </w:r>
      <w:r w:rsidRPr="009B7F14">
        <w:rPr>
          <w:rFonts w:cs="Times New Roman"/>
          <w:color w:val="000000"/>
        </w:rPr>
        <w:t xml:space="preserve">high volume or technical complexity of the project to be verified, the PO finds that it does not have sufficient staff or expertise to carry out the verifications itself, </w:t>
      </w:r>
      <w:r w:rsidR="002445CA">
        <w:rPr>
          <w:rFonts w:cs="Times New Roman"/>
          <w:color w:val="000000"/>
        </w:rPr>
        <w:t>it might be appropriate to outsource</w:t>
      </w:r>
      <w:r w:rsidRPr="009B7F14">
        <w:rPr>
          <w:rFonts w:cs="Times New Roman"/>
          <w:color w:val="000000"/>
        </w:rPr>
        <w:t xml:space="preserve"> some or all elements of the verifications to </w:t>
      </w:r>
      <w:r w:rsidR="00A81D30">
        <w:rPr>
          <w:rFonts w:cs="Times New Roman"/>
          <w:color w:val="000000"/>
        </w:rPr>
        <w:t xml:space="preserve">an </w:t>
      </w:r>
      <w:r w:rsidRPr="009B7F14">
        <w:rPr>
          <w:rFonts w:cs="Times New Roman"/>
          <w:color w:val="000000"/>
        </w:rPr>
        <w:t>e</w:t>
      </w:r>
      <w:r w:rsidR="00BF1BE2">
        <w:rPr>
          <w:rFonts w:cs="Times New Roman"/>
          <w:color w:val="000000"/>
        </w:rPr>
        <w:t xml:space="preserve">xternal </w:t>
      </w:r>
      <w:r w:rsidR="00A81D30">
        <w:rPr>
          <w:rFonts w:cs="Times New Roman"/>
          <w:color w:val="000000"/>
        </w:rPr>
        <w:t>expert.</w:t>
      </w:r>
      <w:r w:rsidRPr="009B7F14">
        <w:rPr>
          <w:rFonts w:cs="Times New Roman"/>
          <w:color w:val="000000"/>
        </w:rPr>
        <w:t xml:space="preserve"> </w:t>
      </w:r>
    </w:p>
    <w:p w14:paraId="2D9F9B50" w14:textId="3715BE84" w:rsidR="00716E75" w:rsidRPr="009B7F14" w:rsidRDefault="00716E75" w:rsidP="00376576">
      <w:pPr>
        <w:autoSpaceDE w:val="0"/>
        <w:autoSpaceDN w:val="0"/>
        <w:adjustRightInd w:val="0"/>
        <w:rPr>
          <w:rFonts w:cs="Times New Roman"/>
          <w:color w:val="000000"/>
        </w:rPr>
      </w:pPr>
      <w:r w:rsidRPr="009B7F14">
        <w:rPr>
          <w:rFonts w:cs="ACaslon-Regular"/>
          <w:b/>
          <w:szCs w:val="20"/>
        </w:rPr>
        <w:t>Segregation of duties:</w:t>
      </w:r>
      <w:r w:rsidRPr="009B7F14">
        <w:rPr>
          <w:rFonts w:cs="Times New Roman"/>
          <w:b/>
          <w:bCs/>
          <w:color w:val="000000"/>
        </w:rPr>
        <w:t xml:space="preserve"> </w:t>
      </w:r>
      <w:r w:rsidRPr="009B7F14">
        <w:rPr>
          <w:rFonts w:cs="Times New Roman"/>
          <w:color w:val="000000"/>
        </w:rPr>
        <w:t xml:space="preserve">In order to ensure compliance with the principle of separation of functions and </w:t>
      </w:r>
      <w:r w:rsidR="00A81D30">
        <w:rPr>
          <w:rFonts w:cs="Times New Roman"/>
          <w:color w:val="000000"/>
        </w:rPr>
        <w:t>to avoid risks arising where the</w:t>
      </w:r>
      <w:r w:rsidRPr="009B7F14">
        <w:rPr>
          <w:rFonts w:cs="Times New Roman"/>
          <w:color w:val="000000"/>
        </w:rPr>
        <w:t xml:space="preserve"> PO is responsible for (i) selection and approval of projects, (ii) verifications and (iii) payments, an adequate segregation of duties shall be ensured between these three functions. Where the PO is also a </w:t>
      </w:r>
      <w:r w:rsidR="003134A1" w:rsidRPr="009B7F14">
        <w:rPr>
          <w:rFonts w:cs="Times New Roman"/>
          <w:color w:val="000000"/>
        </w:rPr>
        <w:t>PP</w:t>
      </w:r>
      <w:r w:rsidRPr="009B7F14">
        <w:rPr>
          <w:rFonts w:cs="Times New Roman"/>
          <w:color w:val="000000"/>
        </w:rPr>
        <w:t xml:space="preserve">, the adequate segregation may be achieved, e.g. by using a separate department within the same organisation, independent of the department where the </w:t>
      </w:r>
      <w:r w:rsidR="003134A1" w:rsidRPr="009B7F14">
        <w:rPr>
          <w:rFonts w:cs="Times New Roman"/>
          <w:color w:val="000000"/>
        </w:rPr>
        <w:t>PP</w:t>
      </w:r>
      <w:r w:rsidRPr="009B7F14">
        <w:rPr>
          <w:rFonts w:cs="Times New Roman"/>
          <w:color w:val="000000"/>
        </w:rPr>
        <w:t xml:space="preserve"> is located, to carry out the verifications. The staff performing </w:t>
      </w:r>
      <w:r w:rsidR="00DC0EC9" w:rsidRPr="009B7F14">
        <w:rPr>
          <w:rFonts w:cs="Times New Roman"/>
          <w:color w:val="000000"/>
        </w:rPr>
        <w:t xml:space="preserve">the </w:t>
      </w:r>
      <w:r w:rsidRPr="009B7F14">
        <w:rPr>
          <w:rFonts w:cs="Times New Roman"/>
          <w:color w:val="000000"/>
        </w:rPr>
        <w:t xml:space="preserve">verifications shall not be involved in systems audits or audits of projects carried out under the responsibility of the AA and vice versa. </w:t>
      </w:r>
    </w:p>
    <w:p w14:paraId="3A2204F4" w14:textId="566DDB1A" w:rsidR="00A81D30" w:rsidRPr="00301033" w:rsidRDefault="00181F88" w:rsidP="00376576">
      <w:pPr>
        <w:autoSpaceDE w:val="0"/>
        <w:autoSpaceDN w:val="0"/>
        <w:adjustRightInd w:val="0"/>
        <w:rPr>
          <w:rFonts w:cs="ACaslon-Regular"/>
          <w:b/>
          <w:szCs w:val="20"/>
        </w:rPr>
      </w:pPr>
      <w:r>
        <w:rPr>
          <w:rFonts w:cs="ACaslon-Regular"/>
          <w:b/>
        </w:rPr>
        <w:t>V</w:t>
      </w:r>
      <w:r w:rsidR="000136DF" w:rsidRPr="00301033">
        <w:rPr>
          <w:rFonts w:cs="ACaslon-Regular"/>
          <w:b/>
        </w:rPr>
        <w:t>erifications vs audits</w:t>
      </w:r>
      <w:r w:rsidR="00301033">
        <w:rPr>
          <w:rFonts w:cs="ACaslon-Regular"/>
          <w:b/>
          <w:szCs w:val="20"/>
        </w:rPr>
        <w:t xml:space="preserve">: </w:t>
      </w:r>
      <w:r w:rsidR="000136DF" w:rsidRPr="009B7F14">
        <w:rPr>
          <w:rFonts w:cs="Times New Roman"/>
          <w:color w:val="000000"/>
        </w:rPr>
        <w:t xml:space="preserve">The objectives of </w:t>
      </w:r>
      <w:r w:rsidR="00A81D30">
        <w:rPr>
          <w:rFonts w:cs="Times New Roman"/>
          <w:color w:val="000000"/>
        </w:rPr>
        <w:t xml:space="preserve">the </w:t>
      </w:r>
      <w:r w:rsidR="000136DF" w:rsidRPr="009B7F14">
        <w:rPr>
          <w:rFonts w:cs="Times New Roman"/>
          <w:color w:val="000000"/>
        </w:rPr>
        <w:t xml:space="preserve">verifications </w:t>
      </w:r>
      <w:r>
        <w:rPr>
          <w:rFonts w:cs="Times New Roman"/>
          <w:color w:val="000000"/>
        </w:rPr>
        <w:t xml:space="preserve">to be carried out by the PO </w:t>
      </w:r>
      <w:r w:rsidR="000136DF" w:rsidRPr="009B7F14">
        <w:rPr>
          <w:rFonts w:cs="Times New Roman"/>
          <w:color w:val="000000"/>
        </w:rPr>
        <w:t xml:space="preserve">are different from those of audits carried out under the responsibility of the AA, the latter being carried out </w:t>
      </w:r>
      <w:r w:rsidR="00A81D30">
        <w:rPr>
          <w:rFonts w:cs="Times New Roman"/>
          <w:color w:val="000000"/>
        </w:rPr>
        <w:t xml:space="preserve">generally </w:t>
      </w:r>
      <w:r w:rsidR="000136DF" w:rsidRPr="009B7F14">
        <w:rPr>
          <w:rFonts w:cs="Times New Roman"/>
          <w:color w:val="000000"/>
        </w:rPr>
        <w:t xml:space="preserve">ex-post. The objective of </w:t>
      </w:r>
      <w:r w:rsidR="00A81D30">
        <w:rPr>
          <w:rFonts w:cs="Times New Roman"/>
          <w:color w:val="000000"/>
        </w:rPr>
        <w:t>the</w:t>
      </w:r>
      <w:r w:rsidR="000136DF" w:rsidRPr="009B7F14">
        <w:rPr>
          <w:rFonts w:cs="Times New Roman"/>
          <w:color w:val="000000"/>
        </w:rPr>
        <w:t xml:space="preserve"> audits is to assess whether internal controls are operating effectively whereas </w:t>
      </w:r>
      <w:r w:rsidR="00A81D30">
        <w:rPr>
          <w:rFonts w:cs="Times New Roman"/>
          <w:color w:val="000000"/>
        </w:rPr>
        <w:t xml:space="preserve">the </w:t>
      </w:r>
      <w:r w:rsidR="000136DF" w:rsidRPr="009B7F14">
        <w:rPr>
          <w:rFonts w:cs="Times New Roman"/>
          <w:color w:val="000000"/>
        </w:rPr>
        <w:t xml:space="preserve">verifications form </w:t>
      </w:r>
      <w:r w:rsidR="00A81D30">
        <w:rPr>
          <w:rFonts w:cs="Times New Roman"/>
          <w:color w:val="000000"/>
        </w:rPr>
        <w:t xml:space="preserve">a </w:t>
      </w:r>
      <w:r w:rsidR="000136DF" w:rsidRPr="009B7F14">
        <w:rPr>
          <w:rFonts w:cs="Times New Roman"/>
          <w:color w:val="000000"/>
        </w:rPr>
        <w:t xml:space="preserve">part of the internal controls. The two types of work must therefore be clearly distinguished in their planning, organisation, execution, content and documentation. </w:t>
      </w:r>
    </w:p>
    <w:p w14:paraId="6E62CFFA" w14:textId="24F141F6" w:rsidR="000136DF" w:rsidRPr="009B7F14" w:rsidRDefault="000136DF" w:rsidP="00376576">
      <w:pPr>
        <w:autoSpaceDE w:val="0"/>
        <w:autoSpaceDN w:val="0"/>
        <w:adjustRightInd w:val="0"/>
        <w:rPr>
          <w:rFonts w:cs="Times New Roman"/>
          <w:color w:val="000000"/>
        </w:rPr>
      </w:pPr>
      <w:r w:rsidRPr="009B7F14">
        <w:rPr>
          <w:rFonts w:cs="Times New Roman"/>
          <w:color w:val="000000"/>
        </w:rPr>
        <w:t xml:space="preserve">Although </w:t>
      </w:r>
      <w:r w:rsidR="00A81D30">
        <w:rPr>
          <w:rFonts w:cs="Times New Roman"/>
          <w:color w:val="000000"/>
        </w:rPr>
        <w:t xml:space="preserve">the </w:t>
      </w:r>
      <w:r w:rsidRPr="009B7F14">
        <w:rPr>
          <w:rFonts w:cs="Times New Roman"/>
          <w:color w:val="000000"/>
        </w:rPr>
        <w:t xml:space="preserve">verifications </w:t>
      </w:r>
      <w:r w:rsidR="00181F88">
        <w:rPr>
          <w:rFonts w:cs="Times New Roman"/>
          <w:color w:val="000000"/>
        </w:rPr>
        <w:t xml:space="preserve">by the PO </w:t>
      </w:r>
      <w:r w:rsidRPr="009B7F14">
        <w:rPr>
          <w:rFonts w:cs="Times New Roman"/>
          <w:color w:val="000000"/>
        </w:rPr>
        <w:t xml:space="preserve">and </w:t>
      </w:r>
      <w:r w:rsidR="00A81D30">
        <w:rPr>
          <w:rFonts w:cs="Times New Roman"/>
          <w:color w:val="000000"/>
        </w:rPr>
        <w:t xml:space="preserve">the </w:t>
      </w:r>
      <w:r w:rsidRPr="009B7F14">
        <w:rPr>
          <w:rFonts w:cs="Times New Roman"/>
          <w:color w:val="000000"/>
        </w:rPr>
        <w:t>audits under the responsibility of the AA shall be separated, exchang</w:t>
      </w:r>
      <w:r w:rsidR="00181F88">
        <w:rPr>
          <w:rFonts w:cs="Times New Roman"/>
          <w:color w:val="000000"/>
        </w:rPr>
        <w:t>e of information between the PO</w:t>
      </w:r>
      <w:r w:rsidRPr="009B7F14">
        <w:rPr>
          <w:rFonts w:cs="Times New Roman"/>
          <w:color w:val="000000"/>
        </w:rPr>
        <w:t xml:space="preserve">, NFP, CA and AA services is </w:t>
      </w:r>
      <w:r w:rsidR="00A81D30" w:rsidRPr="009B7F14">
        <w:rPr>
          <w:rFonts w:cs="Times New Roman"/>
          <w:color w:val="000000"/>
        </w:rPr>
        <w:t>necessary</w:t>
      </w:r>
      <w:r w:rsidRPr="009B7F14">
        <w:rPr>
          <w:rFonts w:cs="Times New Roman"/>
          <w:color w:val="000000"/>
        </w:rPr>
        <w:t>.</w:t>
      </w:r>
    </w:p>
    <w:p w14:paraId="5FD1A141" w14:textId="7047AC59" w:rsidR="00386D12" w:rsidRPr="009B7F14" w:rsidRDefault="0043330F" w:rsidP="00920571">
      <w:pPr>
        <w:pStyle w:val="Heading3"/>
      </w:pPr>
      <w:r>
        <w:t>S</w:t>
      </w:r>
      <w:r w:rsidR="00386D12" w:rsidRPr="009B7F14">
        <w:t>cope</w:t>
      </w:r>
      <w:r>
        <w:t>, p</w:t>
      </w:r>
      <w:r w:rsidRPr="009B7F14">
        <w:t>rocedures</w:t>
      </w:r>
      <w:r>
        <w:t xml:space="preserve"> and records</w:t>
      </w:r>
    </w:p>
    <w:p w14:paraId="6E4AD41E" w14:textId="17E4F6E9" w:rsidR="00716E75" w:rsidRPr="009B7F14" w:rsidRDefault="0043330F" w:rsidP="00376576">
      <w:r w:rsidRPr="0043330F">
        <w:rPr>
          <w:rFonts w:cs="Times New Roman"/>
          <w:b/>
          <w:color w:val="000000"/>
        </w:rPr>
        <w:t>Scope:</w:t>
      </w:r>
      <w:r w:rsidRPr="0043330F">
        <w:rPr>
          <w:rFonts w:cs="Times New Roman"/>
          <w:color w:val="002060"/>
        </w:rPr>
        <w:t xml:space="preserve"> </w:t>
      </w:r>
      <w:r w:rsidR="00716E75" w:rsidRPr="009B7F14">
        <w:rPr>
          <w:rFonts w:cs="Times New Roman"/>
          <w:color w:val="000000"/>
        </w:rPr>
        <w:t xml:space="preserve">The </w:t>
      </w:r>
      <w:r w:rsidR="00DC0EC9" w:rsidRPr="009B7F14">
        <w:rPr>
          <w:rFonts w:cs="Times New Roman"/>
          <w:color w:val="000000"/>
        </w:rPr>
        <w:t xml:space="preserve">PO </w:t>
      </w:r>
      <w:r w:rsidR="00716E75" w:rsidRPr="009B7F14">
        <w:rPr>
          <w:rFonts w:cs="Times New Roman"/>
          <w:color w:val="000000"/>
        </w:rPr>
        <w:t>verifications should cover</w:t>
      </w:r>
      <w:r w:rsidR="000136DF" w:rsidRPr="009B7F14">
        <w:rPr>
          <w:rFonts w:cs="Times New Roman"/>
          <w:color w:val="000000"/>
        </w:rPr>
        <w:t xml:space="preserve"> administrative, financial, technical and physical aspects of projects</w:t>
      </w:r>
      <w:r w:rsidR="00CF55A7">
        <w:rPr>
          <w:rFonts w:cs="Times New Roman"/>
          <w:color w:val="000000"/>
        </w:rPr>
        <w:t>,</w:t>
      </w:r>
      <w:r w:rsidR="00F67B39">
        <w:rPr>
          <w:rFonts w:cs="Times New Roman"/>
          <w:color w:val="000000"/>
        </w:rPr>
        <w:t xml:space="preserve"> </w:t>
      </w:r>
      <w:r w:rsidR="00CF55A7">
        <w:rPr>
          <w:rFonts w:cs="Times New Roman"/>
          <w:color w:val="000000"/>
        </w:rPr>
        <w:t>i</w:t>
      </w:r>
      <w:r w:rsidR="00716E75" w:rsidRPr="009B7F14">
        <w:rPr>
          <w:rFonts w:cs="Times New Roman"/>
          <w:color w:val="000000"/>
        </w:rPr>
        <w:t>n particular:</w:t>
      </w:r>
    </w:p>
    <w:p w14:paraId="6F28F145" w14:textId="4B588686" w:rsidR="00B37EF1" w:rsidRPr="00967B35" w:rsidRDefault="00B37EF1" w:rsidP="009F01EE">
      <w:pPr>
        <w:pStyle w:val="ListParagraph"/>
        <w:numPr>
          <w:ilvl w:val="0"/>
          <w:numId w:val="36"/>
        </w:numPr>
        <w:spacing w:before="0"/>
        <w:ind w:left="284" w:hanging="284"/>
        <w:contextualSpacing w:val="0"/>
      </w:pPr>
      <w:r w:rsidRPr="00967B35">
        <w:t xml:space="preserve">Compliance with the Regulations, the </w:t>
      </w:r>
      <w:r w:rsidR="00AF054F">
        <w:t>PA</w:t>
      </w:r>
      <w:r w:rsidRPr="00967B35">
        <w:t xml:space="preserve"> as well as the applicable national and EU</w:t>
      </w:r>
      <w:r w:rsidRPr="00A75081">
        <w:rPr>
          <w:vertAlign w:val="superscript"/>
        </w:rPr>
        <w:footnoteReference w:id="13"/>
      </w:r>
      <w:r w:rsidRPr="00967B35">
        <w:t xml:space="preserve"> </w:t>
      </w:r>
      <w:r w:rsidR="00181F88" w:rsidRPr="00967B35">
        <w:t>law</w:t>
      </w:r>
      <w:r w:rsidRPr="00967B35">
        <w:t xml:space="preserve"> (including, but not limited to, the legislation on the environment, public procurement and state aid)</w:t>
      </w:r>
    </w:p>
    <w:p w14:paraId="47B869C6" w14:textId="329937FE" w:rsidR="00716E75" w:rsidRPr="00967B35" w:rsidRDefault="00CF55A7" w:rsidP="009F01EE">
      <w:pPr>
        <w:pStyle w:val="ListParagraph"/>
        <w:numPr>
          <w:ilvl w:val="0"/>
          <w:numId w:val="36"/>
        </w:numPr>
        <w:spacing w:before="0"/>
        <w:ind w:left="284" w:hanging="284"/>
        <w:contextualSpacing w:val="0"/>
      </w:pPr>
      <w:r w:rsidRPr="00967B35">
        <w:t>Adequacy of supporting documents and existence of an adequate audit trail</w:t>
      </w:r>
    </w:p>
    <w:p w14:paraId="17EEBF1E" w14:textId="17EB1E2E" w:rsidR="00716E75" w:rsidRPr="00967B35" w:rsidRDefault="003146B8" w:rsidP="009F01EE">
      <w:pPr>
        <w:pStyle w:val="ListParagraph"/>
        <w:numPr>
          <w:ilvl w:val="0"/>
          <w:numId w:val="36"/>
        </w:numPr>
        <w:spacing w:before="0"/>
        <w:ind w:left="284" w:hanging="284"/>
        <w:contextualSpacing w:val="0"/>
      </w:pPr>
      <w:r w:rsidRPr="00967B35">
        <w:t>C</w:t>
      </w:r>
      <w:r w:rsidR="00716E75" w:rsidRPr="00967B35">
        <w:t xml:space="preserve">ompliance </w:t>
      </w:r>
      <w:r w:rsidR="00CF55A7" w:rsidRPr="00967B35">
        <w:t xml:space="preserve">of incurred expenditures with all the eligibility rules </w:t>
      </w:r>
    </w:p>
    <w:p w14:paraId="4D4275A6" w14:textId="7D43F75E" w:rsidR="00B37EF1" w:rsidRPr="00967B35" w:rsidRDefault="003146B8" w:rsidP="009F01EE">
      <w:pPr>
        <w:pStyle w:val="ListParagraph"/>
        <w:numPr>
          <w:ilvl w:val="0"/>
          <w:numId w:val="36"/>
        </w:numPr>
        <w:spacing w:before="0"/>
        <w:ind w:left="284" w:hanging="284"/>
        <w:contextualSpacing w:val="0"/>
      </w:pPr>
      <w:r w:rsidRPr="00967B35">
        <w:t>N</w:t>
      </w:r>
      <w:r w:rsidR="00F67B39" w:rsidRPr="00967B35">
        <w:t>o double funding</w:t>
      </w:r>
      <w:r w:rsidR="004379FE" w:rsidRPr="00967B35">
        <w:t xml:space="preserve"> (w</w:t>
      </w:r>
      <w:r w:rsidR="00B37EF1" w:rsidRPr="00967B35">
        <w:t xml:space="preserve">hen the same </w:t>
      </w:r>
      <w:r w:rsidR="00115052" w:rsidRPr="00967B35">
        <w:t>PP</w:t>
      </w:r>
      <w:r w:rsidR="00B37EF1" w:rsidRPr="00967B35">
        <w:t xml:space="preserve"> implements more than one project at the same time or receives funding </w:t>
      </w:r>
      <w:r w:rsidR="00115052" w:rsidRPr="00967B35">
        <w:t xml:space="preserve">under various forms of support or funds </w:t>
      </w:r>
      <w:r w:rsidR="00B37EF1" w:rsidRPr="00967B35">
        <w:t xml:space="preserve">from other </w:t>
      </w:r>
      <w:r w:rsidR="00F37581">
        <w:t>donors</w:t>
      </w:r>
      <w:r w:rsidR="00B37EF1" w:rsidRPr="00967B35">
        <w:t>, there shall be a mechanism in place to verify potential double financing of expenditure items</w:t>
      </w:r>
      <w:r w:rsidR="004379FE" w:rsidRPr="00967B35">
        <w:t>)</w:t>
      </w:r>
    </w:p>
    <w:p w14:paraId="43EA64AF" w14:textId="7361A417" w:rsidR="00716E75" w:rsidRPr="00967B35" w:rsidRDefault="003146B8" w:rsidP="009F01EE">
      <w:pPr>
        <w:pStyle w:val="ListParagraph"/>
        <w:numPr>
          <w:ilvl w:val="0"/>
          <w:numId w:val="36"/>
        </w:numPr>
        <w:spacing w:before="0"/>
        <w:ind w:left="284" w:hanging="284"/>
        <w:contextualSpacing w:val="0"/>
      </w:pPr>
      <w:r w:rsidRPr="00967B35">
        <w:t>P</w:t>
      </w:r>
      <w:r w:rsidR="00F67B39" w:rsidRPr="00967B35">
        <w:t>hysical progress of the project</w:t>
      </w:r>
    </w:p>
    <w:p w14:paraId="12256D09" w14:textId="41645070" w:rsidR="00716E75" w:rsidRPr="00967B35" w:rsidRDefault="003146B8" w:rsidP="009F01EE">
      <w:pPr>
        <w:pStyle w:val="ListParagraph"/>
        <w:numPr>
          <w:ilvl w:val="0"/>
          <w:numId w:val="36"/>
        </w:numPr>
        <w:spacing w:before="0"/>
        <w:ind w:left="284" w:hanging="284"/>
        <w:contextualSpacing w:val="0"/>
      </w:pPr>
      <w:r w:rsidRPr="00967B35">
        <w:t>D</w:t>
      </w:r>
      <w:r w:rsidR="00716E75" w:rsidRPr="00967B35">
        <w:t>el</w:t>
      </w:r>
      <w:r w:rsidR="00F67B39" w:rsidRPr="00967B35">
        <w:t>ivery of the product or service</w:t>
      </w:r>
    </w:p>
    <w:p w14:paraId="7047FB3D" w14:textId="3D4A8E97" w:rsidR="00B37EF1" w:rsidRPr="00967B35" w:rsidRDefault="00B37EF1" w:rsidP="009F01EE">
      <w:pPr>
        <w:pStyle w:val="ListParagraph"/>
        <w:numPr>
          <w:ilvl w:val="0"/>
          <w:numId w:val="36"/>
        </w:numPr>
        <w:spacing w:before="0"/>
        <w:ind w:left="284" w:hanging="284"/>
        <w:contextualSpacing w:val="0"/>
      </w:pPr>
      <w:r w:rsidRPr="00967B35">
        <w:t xml:space="preserve">Respect of the rules on publicity </w:t>
      </w:r>
      <w:r w:rsidR="00D675EE">
        <w:t xml:space="preserve">and visibility </w:t>
      </w:r>
      <w:r w:rsidRPr="00967B35">
        <w:t xml:space="preserve">(photographs of billboards, copies of promotional brochures, training course materials and diplomas may be used to provide evidence of the verification of compliance with the publicity </w:t>
      </w:r>
      <w:r w:rsidR="00D675EE">
        <w:t xml:space="preserve">and visibility </w:t>
      </w:r>
      <w:r w:rsidRPr="00967B35">
        <w:t>requirements)</w:t>
      </w:r>
    </w:p>
    <w:p w14:paraId="207539FC" w14:textId="43888E15" w:rsidR="0043330F" w:rsidRDefault="0043330F" w:rsidP="0043330F">
      <w:pPr>
        <w:autoSpaceDE w:val="0"/>
        <w:autoSpaceDN w:val="0"/>
        <w:adjustRightInd w:val="0"/>
        <w:rPr>
          <w:rFonts w:cs="Times New Roman"/>
          <w:b/>
        </w:rPr>
      </w:pPr>
      <w:r w:rsidRPr="0043330F">
        <w:rPr>
          <w:rFonts w:cs="Times New Roman"/>
          <w:b/>
          <w:color w:val="000000"/>
        </w:rPr>
        <w:t>Procedures:</w:t>
      </w:r>
      <w:r w:rsidRPr="0043330F">
        <w:rPr>
          <w:rFonts w:cs="Times New Roman"/>
          <w:color w:val="000000"/>
        </w:rPr>
        <w:t xml:space="preserve"> The </w:t>
      </w:r>
      <w:r w:rsidR="00C45897">
        <w:rPr>
          <w:rFonts w:cs="Times New Roman"/>
          <w:color w:val="000000"/>
        </w:rPr>
        <w:t xml:space="preserve">standards and procedures </w:t>
      </w:r>
      <w:r w:rsidRPr="0043330F">
        <w:rPr>
          <w:rFonts w:cs="Times New Roman"/>
          <w:color w:val="000000"/>
        </w:rPr>
        <w:t xml:space="preserve">used by the PO for carrying out the verifications should be set out in procedures manuals, identifying which points are checked during the administrative verifications and during the on-the-spot verifications respectively and referring to checklists to be used for different checks. The manuals should also include a detailed description </w:t>
      </w:r>
      <w:r w:rsidR="001C51DA">
        <w:rPr>
          <w:rFonts w:cs="Times New Roman"/>
          <w:color w:val="000000"/>
        </w:rPr>
        <w:t xml:space="preserve">and justification </w:t>
      </w:r>
      <w:r w:rsidRPr="0043330F">
        <w:rPr>
          <w:rFonts w:cs="Times New Roman"/>
          <w:color w:val="000000"/>
        </w:rPr>
        <w:t xml:space="preserve">of a sampling methodology to be </w:t>
      </w:r>
      <w:r w:rsidRPr="00976E75">
        <w:rPr>
          <w:rFonts w:cs="Times New Roman"/>
        </w:rPr>
        <w:t>applied.</w:t>
      </w:r>
      <w:r w:rsidRPr="00976E75">
        <w:rPr>
          <w:rFonts w:cs="Times New Roman"/>
          <w:b/>
        </w:rPr>
        <w:t xml:space="preserve"> </w:t>
      </w:r>
    </w:p>
    <w:p w14:paraId="60B0B669" w14:textId="2C494989" w:rsidR="0028414F" w:rsidRPr="009B7F14" w:rsidRDefault="0028414F" w:rsidP="0028414F">
      <w:pPr>
        <w:autoSpaceDE w:val="0"/>
        <w:autoSpaceDN w:val="0"/>
        <w:adjustRightInd w:val="0"/>
        <w:rPr>
          <w:rFonts w:cs="Times New Roman"/>
          <w:b/>
          <w:bCs/>
          <w:color w:val="000000"/>
        </w:rPr>
      </w:pPr>
      <w:r>
        <w:rPr>
          <w:rFonts w:cs="Times New Roman"/>
          <w:color w:val="000000"/>
        </w:rPr>
        <w:t xml:space="preserve">When the </w:t>
      </w:r>
      <w:r w:rsidRPr="009B7F14">
        <w:rPr>
          <w:rFonts w:cs="Times New Roman"/>
          <w:color w:val="000000"/>
        </w:rPr>
        <w:t xml:space="preserve">administrative verifications </w:t>
      </w:r>
      <w:r>
        <w:rPr>
          <w:rFonts w:cs="Times New Roman"/>
          <w:color w:val="000000"/>
        </w:rPr>
        <w:t xml:space="preserve">and </w:t>
      </w:r>
      <w:r w:rsidRPr="009B7F14">
        <w:rPr>
          <w:rFonts w:cs="Times New Roman"/>
          <w:color w:val="000000"/>
        </w:rPr>
        <w:t xml:space="preserve">on-the-spot verifications are carried out by different persons, the procedures should ensure that both receive relevant and timely information on the results of the verifications carried out. </w:t>
      </w:r>
    </w:p>
    <w:p w14:paraId="49A823DF" w14:textId="44DBB1D2" w:rsidR="0043330F" w:rsidRDefault="0043330F" w:rsidP="0043330F">
      <w:pPr>
        <w:autoSpaceDE w:val="0"/>
        <w:autoSpaceDN w:val="0"/>
        <w:adjustRightInd w:val="0"/>
        <w:rPr>
          <w:rFonts w:cs="Times New Roman"/>
          <w:color w:val="000000"/>
        </w:rPr>
      </w:pPr>
      <w:r w:rsidRPr="0043330F">
        <w:rPr>
          <w:rFonts w:cs="Times New Roman"/>
          <w:b/>
          <w:color w:val="000000"/>
        </w:rPr>
        <w:t>Records:</w:t>
      </w:r>
      <w:r>
        <w:rPr>
          <w:rFonts w:cs="Times New Roman"/>
          <w:color w:val="000000"/>
        </w:rPr>
        <w:t xml:space="preserve"> The PO shall</w:t>
      </w:r>
      <w:r w:rsidRPr="009B7F14">
        <w:rPr>
          <w:rFonts w:cs="Times New Roman"/>
          <w:color w:val="000000"/>
        </w:rPr>
        <w:t xml:space="preserve"> demonstrate, through adequate documentation of verifications carried out, that the overall intensity of </w:t>
      </w:r>
      <w:r>
        <w:rPr>
          <w:rFonts w:cs="Times New Roman"/>
          <w:color w:val="000000"/>
        </w:rPr>
        <w:t xml:space="preserve">the </w:t>
      </w:r>
      <w:r w:rsidRPr="009B7F14">
        <w:rPr>
          <w:rFonts w:cs="Times New Roman"/>
          <w:color w:val="000000"/>
        </w:rPr>
        <w:t xml:space="preserve">verifications, both administrative and on-the-spot, is sufficient to give </w:t>
      </w:r>
      <w:r>
        <w:rPr>
          <w:rFonts w:cs="Times New Roman"/>
          <w:color w:val="000000"/>
        </w:rPr>
        <w:t xml:space="preserve">a </w:t>
      </w:r>
      <w:r w:rsidRPr="009B7F14">
        <w:rPr>
          <w:rFonts w:cs="Times New Roman"/>
          <w:color w:val="000000"/>
        </w:rPr>
        <w:t>reasonable assurance of the legality and regularity of the expenditure co-financed under the programme.</w:t>
      </w:r>
    </w:p>
    <w:p w14:paraId="0580A32F" w14:textId="0576C96F" w:rsidR="00976E75" w:rsidRPr="00062196" w:rsidRDefault="00976E75" w:rsidP="00976E75">
      <w:pPr>
        <w:autoSpaceDE w:val="0"/>
        <w:autoSpaceDN w:val="0"/>
        <w:adjustRightInd w:val="0"/>
        <w:rPr>
          <w:rFonts w:cs="Times New Roman"/>
          <w:color w:val="000000"/>
        </w:rPr>
      </w:pPr>
      <w:r w:rsidRPr="00062196">
        <w:rPr>
          <w:rFonts w:cs="Times New Roman"/>
          <w:color w:val="000000"/>
        </w:rPr>
        <w:t xml:space="preserve">All the verifications shall be documented (e.g. in a </w:t>
      </w:r>
      <w:r w:rsidRPr="00003896">
        <w:rPr>
          <w:rFonts w:cs="Times New Roman"/>
          <w:color w:val="000000"/>
        </w:rPr>
        <w:t xml:space="preserve">form </w:t>
      </w:r>
      <w:r w:rsidRPr="00003896">
        <w:rPr>
          <w:rFonts w:cs="Times New Roman"/>
        </w:rPr>
        <w:t>of checklists</w:t>
      </w:r>
      <w:r w:rsidRPr="00976E75">
        <w:rPr>
          <w:rFonts w:cs="Times New Roman"/>
        </w:rPr>
        <w:t>).</w:t>
      </w:r>
      <w:r w:rsidRPr="00FB51C2">
        <w:rPr>
          <w:rFonts w:cs="Times New Roman"/>
        </w:rPr>
        <w:t xml:space="preserve"> </w:t>
      </w:r>
      <w:r w:rsidRPr="00062196">
        <w:rPr>
          <w:rFonts w:cs="Times New Roman"/>
          <w:color w:val="000000"/>
        </w:rPr>
        <w:t>The verification records should</w:t>
      </w:r>
      <w:r>
        <w:rPr>
          <w:rFonts w:cs="Times New Roman"/>
          <w:color w:val="000000"/>
        </w:rPr>
        <w:t>, as a minimum,</w:t>
      </w:r>
      <w:r w:rsidRPr="00062196">
        <w:rPr>
          <w:rFonts w:cs="Times New Roman"/>
          <w:color w:val="000000"/>
        </w:rPr>
        <w:t xml:space="preserve"> include:</w:t>
      </w:r>
    </w:p>
    <w:p w14:paraId="3300EFEE" w14:textId="391A5661" w:rsidR="00976E75" w:rsidRDefault="004379FE" w:rsidP="009F01EE">
      <w:pPr>
        <w:pStyle w:val="ListParagraph"/>
        <w:numPr>
          <w:ilvl w:val="0"/>
          <w:numId w:val="36"/>
        </w:numPr>
        <w:spacing w:before="0"/>
        <w:ind w:left="284" w:hanging="284"/>
        <w:contextualSpacing w:val="0"/>
      </w:pPr>
      <w:r w:rsidRPr="009B7F14">
        <w:rPr>
          <w:noProof/>
          <w:lang w:eastAsia="en-GB"/>
        </w:rPr>
        <mc:AlternateContent>
          <mc:Choice Requires="wps">
            <w:drawing>
              <wp:anchor distT="0" distB="0" distL="114300" distR="114300" simplePos="0" relativeHeight="251740160" behindDoc="1" locked="0" layoutInCell="1" allowOverlap="1" wp14:anchorId="6B7D4997" wp14:editId="7E4B3BA9">
                <wp:simplePos x="0" y="0"/>
                <wp:positionH relativeFrom="margin">
                  <wp:posOffset>2143125</wp:posOffset>
                </wp:positionH>
                <wp:positionV relativeFrom="paragraph">
                  <wp:posOffset>0</wp:posOffset>
                </wp:positionV>
                <wp:extent cx="3705225" cy="4772025"/>
                <wp:effectExtent l="0" t="0" r="9525" b="9525"/>
                <wp:wrapSquare wrapText="bothSides"/>
                <wp:docPr id="15" name="Flowchart: Process 15"/>
                <wp:cNvGraphicFramePr/>
                <a:graphic xmlns:a="http://schemas.openxmlformats.org/drawingml/2006/main">
                  <a:graphicData uri="http://schemas.microsoft.com/office/word/2010/wordprocessingShape">
                    <wps:wsp>
                      <wps:cNvSpPr/>
                      <wps:spPr>
                        <a:xfrm>
                          <a:off x="0" y="0"/>
                          <a:ext cx="3705225" cy="4772025"/>
                        </a:xfrm>
                        <a:prstGeom prst="flowChartProcess">
                          <a:avLst/>
                        </a:prstGeom>
                        <a:solidFill>
                          <a:schemeClr val="accent1">
                            <a:lumMod val="20000"/>
                            <a:lumOff val="80000"/>
                          </a:schemeClr>
                        </a:solidFill>
                        <a:ln w="9525">
                          <a:noFill/>
                        </a:ln>
                        <a:effectLst/>
                      </wps:spPr>
                      <wps:txbx>
                        <w:txbxContent>
                          <w:p w14:paraId="05339007" w14:textId="77777777" w:rsidR="00A87AB3" w:rsidRPr="000A63D8" w:rsidRDefault="00A87AB3" w:rsidP="004379FE">
                            <w:pPr>
                              <w:jc w:val="left"/>
                              <w:rPr>
                                <w:color w:val="C45911" w:themeColor="accent2" w:themeShade="BF"/>
                                <w:sz w:val="18"/>
                                <w:szCs w:val="18"/>
                              </w:rPr>
                            </w:pPr>
                            <w:r w:rsidRPr="000A63D8">
                              <w:rPr>
                                <w:b/>
                                <w:bCs/>
                                <w:color w:val="C45911" w:themeColor="accent2" w:themeShade="BF"/>
                                <w:sz w:val="18"/>
                                <w:szCs w:val="18"/>
                              </w:rPr>
                              <w:t>Good practice:</w:t>
                            </w:r>
                            <w:r w:rsidRPr="000A63D8">
                              <w:rPr>
                                <w:color w:val="C45911" w:themeColor="accent2" w:themeShade="BF"/>
                                <w:sz w:val="18"/>
                                <w:szCs w:val="18"/>
                              </w:rPr>
                              <w:t xml:space="preserve"> </w:t>
                            </w:r>
                          </w:p>
                          <w:p w14:paraId="608961C4" w14:textId="2628FDAA" w:rsidR="00A87AB3" w:rsidRPr="000A63D8" w:rsidRDefault="00A87AB3" w:rsidP="004379FE">
                            <w:pPr>
                              <w:spacing w:before="0"/>
                              <w:jc w:val="left"/>
                              <w:rPr>
                                <w:color w:val="C45911" w:themeColor="accent2" w:themeShade="BF"/>
                                <w:sz w:val="18"/>
                                <w:szCs w:val="18"/>
                              </w:rPr>
                            </w:pPr>
                            <w:r w:rsidRPr="000A63D8">
                              <w:rPr>
                                <w:i/>
                                <w:color w:val="C45911" w:themeColor="accent2" w:themeShade="BF"/>
                                <w:sz w:val="18"/>
                                <w:szCs w:val="18"/>
                              </w:rPr>
                              <w:t>Checklists</w:t>
                            </w:r>
                          </w:p>
                          <w:p w14:paraId="796DE71E" w14:textId="1DABBF63" w:rsidR="00A87AB3" w:rsidRPr="000A63D8" w:rsidRDefault="00A87AB3" w:rsidP="00362FCB">
                            <w:pPr>
                              <w:autoSpaceDE w:val="0"/>
                              <w:autoSpaceDN w:val="0"/>
                              <w:adjustRightInd w:val="0"/>
                              <w:spacing w:line="276" w:lineRule="auto"/>
                              <w:rPr>
                                <w:rFonts w:cs="Times New Roman"/>
                                <w:color w:val="000000"/>
                                <w:sz w:val="18"/>
                                <w:szCs w:val="18"/>
                              </w:rPr>
                            </w:pPr>
                            <w:r w:rsidRPr="000A63D8">
                              <w:rPr>
                                <w:rFonts w:cs="Times New Roman"/>
                                <w:color w:val="000000"/>
                                <w:sz w:val="18"/>
                                <w:szCs w:val="18"/>
                              </w:rPr>
                              <w:t>Checklists, which act as a guide for carrying out the verifications, are often used to record each of the actions performed together with the results. To be useful, these should be sufficiently detailed. For example, when recording verifications on the eligibility of the expenditure, it is not sufficient to have one box on the checklist stating that the eligibility of the expenditure has been verified. Instead, a list of each of the eligibility points verified should be detailed with a reference to the related legal basis (e.g. expenditure paid within the eligibility period, conformity of supporting documents and bank statements, appropriate and reasonable allocation of overheads). In the case of public procurements it is recommended to have detailed checklists which cover the key risks in the procurement procedure</w:t>
                            </w:r>
                            <w:r w:rsidRPr="000A63D8">
                              <w:rPr>
                                <w:rStyle w:val="FootnoteReference"/>
                                <w:rFonts w:cs="Times New Roman"/>
                                <w:color w:val="000000"/>
                                <w:sz w:val="18"/>
                                <w:szCs w:val="18"/>
                              </w:rPr>
                              <w:footnoteRef/>
                            </w:r>
                            <w:r w:rsidRPr="000A63D8">
                              <w:rPr>
                                <w:rFonts w:cs="Times New Roman"/>
                                <w:color w:val="000000"/>
                                <w:sz w:val="18"/>
                                <w:szCs w:val="18"/>
                              </w:rPr>
                              <w:t xml:space="preserve">. For more straightforward verifications such as checking the sum of a list of transactions, a simple tick beside the total figure would suffice to record the work done. </w:t>
                            </w:r>
                          </w:p>
                          <w:p w14:paraId="08487412" w14:textId="77777777" w:rsidR="00A87AB3" w:rsidRPr="000A63D8" w:rsidRDefault="00A87AB3" w:rsidP="00362FCB">
                            <w:pPr>
                              <w:spacing w:line="276" w:lineRule="auto"/>
                              <w:rPr>
                                <w:rFonts w:cs="Times New Roman"/>
                                <w:color w:val="000000"/>
                                <w:sz w:val="18"/>
                                <w:szCs w:val="18"/>
                              </w:rPr>
                            </w:pPr>
                            <w:r w:rsidRPr="000A63D8">
                              <w:rPr>
                                <w:rFonts w:cs="Times New Roman"/>
                                <w:color w:val="000000"/>
                                <w:sz w:val="18"/>
                                <w:szCs w:val="18"/>
                              </w:rPr>
                              <w:t>To serve the purpose, as a minimum, the checklist should include questions on:</w:t>
                            </w:r>
                          </w:p>
                          <w:p w14:paraId="5E9987EA" w14:textId="77777777" w:rsidR="00A87AB3" w:rsidRPr="000A63D8" w:rsidRDefault="00A87AB3" w:rsidP="009F01EE">
                            <w:pPr>
                              <w:pStyle w:val="ListParagraph"/>
                              <w:numPr>
                                <w:ilvl w:val="0"/>
                                <w:numId w:val="37"/>
                              </w:numPr>
                              <w:spacing w:line="276" w:lineRule="auto"/>
                              <w:ind w:left="284" w:hanging="284"/>
                              <w:contextualSpacing w:val="0"/>
                              <w:rPr>
                                <w:rFonts w:cs="Times New Roman"/>
                                <w:color w:val="000000"/>
                                <w:sz w:val="18"/>
                                <w:szCs w:val="18"/>
                              </w:rPr>
                            </w:pPr>
                            <w:r w:rsidRPr="000A63D8">
                              <w:rPr>
                                <w:rFonts w:cs="Times New Roman"/>
                                <w:color w:val="000000"/>
                                <w:sz w:val="18"/>
                                <w:szCs w:val="18"/>
                              </w:rPr>
                              <w:t>All general eligibility criteria listed in the Regulations and the specific criteria for each type of expenditure, including indirect costs</w:t>
                            </w:r>
                          </w:p>
                          <w:p w14:paraId="430010BF" w14:textId="77777777" w:rsidR="00A87AB3" w:rsidRPr="000A63D8" w:rsidRDefault="00A87AB3" w:rsidP="009F01EE">
                            <w:pPr>
                              <w:pStyle w:val="ListParagraph"/>
                              <w:numPr>
                                <w:ilvl w:val="0"/>
                                <w:numId w:val="37"/>
                              </w:numPr>
                              <w:spacing w:line="276" w:lineRule="auto"/>
                              <w:ind w:left="284" w:hanging="284"/>
                              <w:contextualSpacing w:val="0"/>
                              <w:rPr>
                                <w:rFonts w:cs="Times New Roman"/>
                                <w:color w:val="000000"/>
                                <w:sz w:val="18"/>
                                <w:szCs w:val="18"/>
                              </w:rPr>
                            </w:pPr>
                            <w:r w:rsidRPr="000A63D8">
                              <w:rPr>
                                <w:rFonts w:cs="Times New Roman"/>
                                <w:color w:val="000000"/>
                                <w:sz w:val="18"/>
                                <w:szCs w:val="18"/>
                              </w:rPr>
                              <w:t>The identification of ineligible expenditure as defined in the Regulations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D4997" id="Flowchart: Process 15" o:spid="_x0000_s1044" type="#_x0000_t109" style="position:absolute;left:0;text-align:left;margin-left:168.75pt;margin-top:0;width:291.75pt;height:375.75pt;z-index:-251576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" fillcolor="#deeaf6 [660]" stroked="f">
                <v:textbox>
                  <w:txbxContent>
                    <w:p w14:paraId="05339007" w14:textId="77777777" w:rsidR="00A87AB3" w:rsidRPr="000A63D8" w:rsidRDefault="00A87AB3" w:rsidP="004379FE">
                      <w:pPr>
                        <w:jc w:val="left"/>
                        <w:rPr>
                          <w:color w:val="C45911" w:themeColor="accent2" w:themeShade="BF"/>
                          <w:sz w:val="18"/>
                          <w:szCs w:val="18"/>
                        </w:rPr>
                      </w:pPr>
                      <w:r w:rsidRPr="000A63D8">
                        <w:rPr>
                          <w:b/>
                          <w:bCs/>
                          <w:color w:val="C45911" w:themeColor="accent2" w:themeShade="BF"/>
                          <w:sz w:val="18"/>
                          <w:szCs w:val="18"/>
                        </w:rPr>
                        <w:t>Good practice:</w:t>
                      </w:r>
                      <w:r w:rsidRPr="000A63D8">
                        <w:rPr>
                          <w:color w:val="C45911" w:themeColor="accent2" w:themeShade="BF"/>
                          <w:sz w:val="18"/>
                          <w:szCs w:val="18"/>
                        </w:rPr>
                        <w:t xml:space="preserve"> </w:t>
                      </w:r>
                    </w:p>
                    <w:p w14:paraId="608961C4" w14:textId="2628FDAA" w:rsidR="00A87AB3" w:rsidRPr="000A63D8" w:rsidRDefault="00A87AB3" w:rsidP="004379FE">
                      <w:pPr>
                        <w:spacing w:before="0"/>
                        <w:jc w:val="left"/>
                        <w:rPr>
                          <w:color w:val="C45911" w:themeColor="accent2" w:themeShade="BF"/>
                          <w:sz w:val="18"/>
                          <w:szCs w:val="18"/>
                        </w:rPr>
                      </w:pPr>
                      <w:r w:rsidRPr="000A63D8">
                        <w:rPr>
                          <w:i/>
                          <w:color w:val="C45911" w:themeColor="accent2" w:themeShade="BF"/>
                          <w:sz w:val="18"/>
                          <w:szCs w:val="18"/>
                        </w:rPr>
                        <w:t>Checklists</w:t>
                      </w:r>
                    </w:p>
                    <w:p w14:paraId="796DE71E" w14:textId="1DABBF63" w:rsidR="00A87AB3" w:rsidRPr="000A63D8" w:rsidRDefault="00A87AB3" w:rsidP="00362FCB">
                      <w:pPr>
                        <w:autoSpaceDE w:val="0"/>
                        <w:autoSpaceDN w:val="0"/>
                        <w:adjustRightInd w:val="0"/>
                        <w:spacing w:line="276" w:lineRule="auto"/>
                        <w:rPr>
                          <w:rFonts w:cs="Times New Roman"/>
                          <w:color w:val="000000"/>
                          <w:sz w:val="18"/>
                          <w:szCs w:val="18"/>
                        </w:rPr>
                      </w:pPr>
                      <w:r w:rsidRPr="000A63D8">
                        <w:rPr>
                          <w:rFonts w:cs="Times New Roman"/>
                          <w:color w:val="000000"/>
                          <w:sz w:val="18"/>
                          <w:szCs w:val="18"/>
                        </w:rPr>
                        <w:t>Checklists, which act as a guide for carrying out the verifications, are often used to record each of the actions performed together with the results. To be useful, these should be sufficiently detailed. For example, when recording verifications on the eligibility of the expenditure, it is not sufficient to have one box on the checklist stating that the eligibility of the expenditure has been verified. Instead, a list of each of the eligibility points verified should be detailed with a reference to the related legal basis (e.g. expenditure paid within the eligibility period, conformity of supporting documents and bank statements, appropriate and reasonable allocation of overheads). In the case of public procurements it is recommended to have detailed checklists which cover the key risks in the procurement procedure</w:t>
                      </w:r>
                      <w:r w:rsidRPr="000A63D8">
                        <w:rPr>
                          <w:rStyle w:val="FootnoteReference"/>
                          <w:rFonts w:cs="Times New Roman"/>
                          <w:color w:val="000000"/>
                          <w:sz w:val="18"/>
                          <w:szCs w:val="18"/>
                        </w:rPr>
                        <w:footnoteRef/>
                      </w:r>
                      <w:r w:rsidRPr="000A63D8">
                        <w:rPr>
                          <w:rFonts w:cs="Times New Roman"/>
                          <w:color w:val="000000"/>
                          <w:sz w:val="18"/>
                          <w:szCs w:val="18"/>
                        </w:rPr>
                        <w:t xml:space="preserve">. For more straightforward verifications such as checking the sum of a list of transactions, a simple tick beside the total figure would suffice to record the work done. </w:t>
                      </w:r>
                    </w:p>
                    <w:p w14:paraId="08487412" w14:textId="77777777" w:rsidR="00A87AB3" w:rsidRPr="000A63D8" w:rsidRDefault="00A87AB3" w:rsidP="00362FCB">
                      <w:pPr>
                        <w:spacing w:line="276" w:lineRule="auto"/>
                        <w:rPr>
                          <w:rFonts w:cs="Times New Roman"/>
                          <w:color w:val="000000"/>
                          <w:sz w:val="18"/>
                          <w:szCs w:val="18"/>
                        </w:rPr>
                      </w:pPr>
                      <w:r w:rsidRPr="000A63D8">
                        <w:rPr>
                          <w:rFonts w:cs="Times New Roman"/>
                          <w:color w:val="000000"/>
                          <w:sz w:val="18"/>
                          <w:szCs w:val="18"/>
                        </w:rPr>
                        <w:t>To serve the purpose, as a minimum, the checklist should include questions on:</w:t>
                      </w:r>
                    </w:p>
                    <w:p w14:paraId="5E9987EA" w14:textId="77777777" w:rsidR="00A87AB3" w:rsidRPr="000A63D8" w:rsidRDefault="00A87AB3" w:rsidP="009F01EE">
                      <w:pPr>
                        <w:pStyle w:val="ListParagraph"/>
                        <w:numPr>
                          <w:ilvl w:val="0"/>
                          <w:numId w:val="37"/>
                        </w:numPr>
                        <w:spacing w:line="276" w:lineRule="auto"/>
                        <w:ind w:left="284" w:hanging="284"/>
                        <w:contextualSpacing w:val="0"/>
                        <w:rPr>
                          <w:rFonts w:cs="Times New Roman"/>
                          <w:color w:val="000000"/>
                          <w:sz w:val="18"/>
                          <w:szCs w:val="18"/>
                        </w:rPr>
                      </w:pPr>
                      <w:r w:rsidRPr="000A63D8">
                        <w:rPr>
                          <w:rFonts w:cs="Times New Roman"/>
                          <w:color w:val="000000"/>
                          <w:sz w:val="18"/>
                          <w:szCs w:val="18"/>
                        </w:rPr>
                        <w:t>All general eligibility criteria listed in the Regulations and the specific criteria for each type of expenditure, including indirect costs</w:t>
                      </w:r>
                    </w:p>
                    <w:p w14:paraId="430010BF" w14:textId="77777777" w:rsidR="00A87AB3" w:rsidRPr="000A63D8" w:rsidRDefault="00A87AB3" w:rsidP="009F01EE">
                      <w:pPr>
                        <w:pStyle w:val="ListParagraph"/>
                        <w:numPr>
                          <w:ilvl w:val="0"/>
                          <w:numId w:val="37"/>
                        </w:numPr>
                        <w:spacing w:line="276" w:lineRule="auto"/>
                        <w:ind w:left="284" w:hanging="284"/>
                        <w:contextualSpacing w:val="0"/>
                        <w:rPr>
                          <w:rFonts w:cs="Times New Roman"/>
                          <w:color w:val="000000"/>
                          <w:sz w:val="18"/>
                          <w:szCs w:val="18"/>
                        </w:rPr>
                      </w:pPr>
                      <w:r w:rsidRPr="000A63D8">
                        <w:rPr>
                          <w:rFonts w:cs="Times New Roman"/>
                          <w:color w:val="000000"/>
                          <w:sz w:val="18"/>
                          <w:szCs w:val="18"/>
                        </w:rPr>
                        <w:t>The identification of ineligible expenditure as defined in the Regulations</w:t>
                      </w:r>
                    </w:p>
                  </w:txbxContent>
                </v:textbox>
                <w10:wrap type="square" anchorx="margin"/>
              </v:shape>
            </w:pict>
          </mc:Fallback>
        </mc:AlternateContent>
      </w:r>
      <w:r w:rsidR="00976E75" w:rsidRPr="00062196">
        <w:t>A brief summary work of performed</w:t>
      </w:r>
    </w:p>
    <w:p w14:paraId="46015D98" w14:textId="318861FC" w:rsidR="00976E75" w:rsidRDefault="00976E75" w:rsidP="009F01EE">
      <w:pPr>
        <w:pStyle w:val="ListParagraph"/>
        <w:numPr>
          <w:ilvl w:val="0"/>
          <w:numId w:val="36"/>
        </w:numPr>
        <w:spacing w:before="0"/>
        <w:ind w:left="284" w:hanging="284"/>
        <w:contextualSpacing w:val="0"/>
      </w:pPr>
      <w:r w:rsidRPr="00062196">
        <w:t>Details of the financial report/expenditure items reviewed</w:t>
      </w:r>
    </w:p>
    <w:p w14:paraId="3D706BC8" w14:textId="352F142C" w:rsidR="00976E75" w:rsidRDefault="00976E75" w:rsidP="009F01EE">
      <w:pPr>
        <w:pStyle w:val="ListParagraph"/>
        <w:numPr>
          <w:ilvl w:val="0"/>
          <w:numId w:val="36"/>
        </w:numPr>
        <w:spacing w:before="0"/>
        <w:ind w:left="284" w:hanging="284"/>
        <w:contextualSpacing w:val="0"/>
      </w:pPr>
      <w:r w:rsidRPr="00062196">
        <w:t>The value of checked expenditure i.e. the amount tested to source documentation</w:t>
      </w:r>
    </w:p>
    <w:p w14:paraId="1CE3B026" w14:textId="5DE7CF2F" w:rsidR="00976E75" w:rsidRDefault="00976E75" w:rsidP="009F01EE">
      <w:pPr>
        <w:pStyle w:val="ListParagraph"/>
        <w:numPr>
          <w:ilvl w:val="0"/>
          <w:numId w:val="36"/>
        </w:numPr>
        <w:spacing w:before="0"/>
        <w:ind w:left="284" w:hanging="284"/>
        <w:contextualSpacing w:val="0"/>
      </w:pPr>
      <w:r w:rsidRPr="00062196">
        <w:t>The results of the verifications</w:t>
      </w:r>
      <w:r w:rsidRPr="00967B35">
        <w:t xml:space="preserve"> including the overall level and frequency of the errors detected</w:t>
      </w:r>
    </w:p>
    <w:p w14:paraId="65E96922" w14:textId="7C64E542" w:rsidR="00976E75" w:rsidRDefault="00976E75" w:rsidP="009F01EE">
      <w:pPr>
        <w:pStyle w:val="ListParagraph"/>
        <w:numPr>
          <w:ilvl w:val="0"/>
          <w:numId w:val="36"/>
        </w:numPr>
        <w:spacing w:before="0"/>
        <w:ind w:left="284" w:hanging="284"/>
        <w:contextualSpacing w:val="0"/>
      </w:pPr>
      <w:r w:rsidRPr="00062196">
        <w:t xml:space="preserve">A description of irregularities detected with a clear identification of the related rules infringed and the corrective measures taken (follow up action </w:t>
      </w:r>
      <w:r>
        <w:t>may</w:t>
      </w:r>
      <w:r w:rsidRPr="00062196">
        <w:t xml:space="preserve"> include the submission of an irregularity report and a procedur</w:t>
      </w:r>
      <w:r>
        <w:t>e for recovery of the funding)</w:t>
      </w:r>
    </w:p>
    <w:p w14:paraId="46733A8F" w14:textId="2E2C13DB" w:rsidR="00976E75" w:rsidRDefault="00976E75" w:rsidP="009F01EE">
      <w:pPr>
        <w:pStyle w:val="ListParagraph"/>
        <w:numPr>
          <w:ilvl w:val="0"/>
          <w:numId w:val="36"/>
        </w:numPr>
        <w:spacing w:before="0"/>
        <w:ind w:left="284" w:hanging="284"/>
        <w:contextualSpacing w:val="0"/>
      </w:pPr>
      <w:r w:rsidRPr="00062196">
        <w:t>The name and position of the person performing the verification</w:t>
      </w:r>
    </w:p>
    <w:p w14:paraId="4D9A476E" w14:textId="77777777" w:rsidR="00976E75" w:rsidRPr="00062196" w:rsidRDefault="00976E75" w:rsidP="009F01EE">
      <w:pPr>
        <w:pStyle w:val="ListParagraph"/>
        <w:numPr>
          <w:ilvl w:val="0"/>
          <w:numId w:val="36"/>
        </w:numPr>
        <w:spacing w:before="0"/>
        <w:ind w:left="284" w:hanging="284"/>
        <w:contextualSpacing w:val="0"/>
      </w:pPr>
      <w:r w:rsidRPr="00062196">
        <w:t>The date and signature</w:t>
      </w:r>
    </w:p>
    <w:p w14:paraId="67C71979" w14:textId="795F994A" w:rsidR="000B7E82" w:rsidRDefault="00250384" w:rsidP="00920571">
      <w:pPr>
        <w:pStyle w:val="Heading3"/>
      </w:pPr>
      <w:r>
        <w:t>A</w:t>
      </w:r>
      <w:r w:rsidR="00716E75" w:rsidRPr="009B7F14">
        <w:t>dministrative verificat</w:t>
      </w:r>
      <w:r w:rsidR="00386D12" w:rsidRPr="009B7F14">
        <w:t xml:space="preserve">ions </w:t>
      </w:r>
      <w:r w:rsidR="00181F88" w:rsidRPr="00062196">
        <w:t>in respect of incurred expenditur</w:t>
      </w:r>
      <w:r w:rsidR="00181F88">
        <w:t xml:space="preserve">e reported by </w:t>
      </w:r>
      <w:r w:rsidR="008F0B35">
        <w:t>PPs</w:t>
      </w:r>
      <w:r w:rsidR="00181F88" w:rsidRPr="009B7F14">
        <w:t xml:space="preserve"> </w:t>
      </w:r>
      <w:r w:rsidR="000B7E82">
        <w:t>(</w:t>
      </w:r>
      <w:r w:rsidR="000B7E82" w:rsidRPr="009B7F14">
        <w:t>Reg. Art. 5.6</w:t>
      </w:r>
      <w:r w:rsidR="000B7E82">
        <w:t>.2 (i)</w:t>
      </w:r>
      <w:r w:rsidR="002C3C0B">
        <w:t>)</w:t>
      </w:r>
    </w:p>
    <w:p w14:paraId="0B73F603" w14:textId="15200827" w:rsidR="00E46C27" w:rsidRPr="00062196" w:rsidRDefault="00E46C27" w:rsidP="00E46C27">
      <w:pPr>
        <w:autoSpaceDE w:val="0"/>
        <w:autoSpaceDN w:val="0"/>
        <w:adjustRightInd w:val="0"/>
        <w:rPr>
          <w:rFonts w:cs="Times New Roman"/>
          <w:color w:val="000000"/>
        </w:rPr>
      </w:pPr>
      <w:r w:rsidRPr="00062196">
        <w:rPr>
          <w:rFonts w:cs="Times New Roman"/>
          <w:color w:val="000000"/>
        </w:rPr>
        <w:t xml:space="preserve">Administrative verifications </w:t>
      </w:r>
      <w:r w:rsidRPr="00062196">
        <w:t>in respect of incurred expenditur</w:t>
      </w:r>
      <w:r>
        <w:t xml:space="preserve">e reported by </w:t>
      </w:r>
      <w:r w:rsidR="008F0B35">
        <w:t>PPs</w:t>
      </w:r>
      <w:r w:rsidRPr="00062196">
        <w:rPr>
          <w:rFonts w:cs="Times New Roman"/>
          <w:color w:val="000000"/>
        </w:rPr>
        <w:t xml:space="preserve"> are desk-based documentary examinations of the financial repor</w:t>
      </w:r>
      <w:r>
        <w:rPr>
          <w:rFonts w:cs="Times New Roman"/>
          <w:color w:val="000000"/>
        </w:rPr>
        <w:t>t</w:t>
      </w:r>
      <w:r w:rsidRPr="00062196">
        <w:rPr>
          <w:rFonts w:cs="Times New Roman"/>
          <w:color w:val="000000"/>
        </w:rPr>
        <w:t>s and relevant supporting documentation</w:t>
      </w:r>
      <w:r w:rsidR="001C51DA">
        <w:rPr>
          <w:rFonts w:cs="Times New Roman"/>
          <w:color w:val="000000"/>
        </w:rPr>
        <w:t xml:space="preserve"> – a proof of expenditures</w:t>
      </w:r>
      <w:r w:rsidRPr="00062196">
        <w:rPr>
          <w:rFonts w:cs="Times New Roman"/>
          <w:color w:val="000000"/>
        </w:rPr>
        <w:t xml:space="preserve"> </w:t>
      </w:r>
      <w:r w:rsidRPr="00062196">
        <w:t xml:space="preserve">(e.g. invoices, proofs of payment, timesheets, presence lists, proofs of delivery, bank statements, </w:t>
      </w:r>
      <w:r>
        <w:t>etc.</w:t>
      </w:r>
      <w:r w:rsidRPr="00062196">
        <w:t>)</w:t>
      </w:r>
      <w:r w:rsidRPr="00062196">
        <w:rPr>
          <w:rFonts w:cs="Times New Roman"/>
          <w:color w:val="000000"/>
        </w:rPr>
        <w:t>. The main principles of the administrative verifications are:</w:t>
      </w:r>
    </w:p>
    <w:p w14:paraId="7AB17EA5" w14:textId="736249C4" w:rsidR="00E46C27" w:rsidRPr="00062196" w:rsidRDefault="00E46C27" w:rsidP="009F01EE">
      <w:pPr>
        <w:pStyle w:val="ListParagraph"/>
        <w:numPr>
          <w:ilvl w:val="0"/>
          <w:numId w:val="36"/>
        </w:numPr>
        <w:spacing w:before="0"/>
        <w:ind w:left="284" w:hanging="284"/>
        <w:contextualSpacing w:val="0"/>
      </w:pPr>
      <w:r w:rsidRPr="00062196">
        <w:t xml:space="preserve">Each financial report submitted by </w:t>
      </w:r>
      <w:r w:rsidR="004379FE">
        <w:t>the</w:t>
      </w:r>
      <w:r w:rsidRPr="00062196">
        <w:t xml:space="preserve"> </w:t>
      </w:r>
      <w:r w:rsidR="008F0B35">
        <w:t>PP</w:t>
      </w:r>
      <w:r w:rsidRPr="00062196">
        <w:t xml:space="preserve"> should be verified by </w:t>
      </w:r>
      <w:r>
        <w:t>the PO</w:t>
      </w:r>
      <w:r w:rsidRPr="00062196">
        <w:t xml:space="preserve"> before it is approved </w:t>
      </w:r>
    </w:p>
    <w:p w14:paraId="06546A91" w14:textId="610D47E1" w:rsidR="00E46C27" w:rsidRPr="00062196" w:rsidRDefault="004379FE" w:rsidP="009F01EE">
      <w:pPr>
        <w:pStyle w:val="ListParagraph"/>
        <w:numPr>
          <w:ilvl w:val="0"/>
          <w:numId w:val="36"/>
        </w:numPr>
        <w:spacing w:before="0"/>
        <w:ind w:left="284" w:hanging="284"/>
        <w:contextualSpacing w:val="0"/>
      </w:pPr>
      <w:r w:rsidRPr="004379FE">
        <w:t xml:space="preserve">The documents to be submitted </w:t>
      </w:r>
      <w:r>
        <w:t xml:space="preserve">by the PP </w:t>
      </w:r>
      <w:r w:rsidRPr="004379FE">
        <w:t xml:space="preserve">with each report should be comprehensive in order to enable the FO to verify the legality and regularity of the expenditure. </w:t>
      </w:r>
      <w:r>
        <w:t>A</w:t>
      </w:r>
      <w:r w:rsidR="00E46C27">
        <w:t>s</w:t>
      </w:r>
      <w:r w:rsidR="00E46C27" w:rsidRPr="00062196">
        <w:t xml:space="preserve"> a minimum, </w:t>
      </w:r>
      <w:r>
        <w:t>t</w:t>
      </w:r>
      <w:r w:rsidRPr="00062196">
        <w:t xml:space="preserve">he supporting documentation required </w:t>
      </w:r>
      <w:r>
        <w:t xml:space="preserve">should </w:t>
      </w:r>
      <w:r w:rsidR="00E46C27" w:rsidRPr="00062196">
        <w:t>include</w:t>
      </w:r>
      <w:r w:rsidR="00E46C27">
        <w:t>:</w:t>
      </w:r>
      <w:r w:rsidR="00E46C27" w:rsidRPr="00062196">
        <w:t xml:space="preserve"> a schedule of the individual expenditure items, totalled and showing the expenditure amount, the references of the related invoices, the date of payment and the payment reference number and list of contracts signed (if applicable). Moreover, ideally, electronic invoices and payments or copies of invoices and proof of payment should be provided for all expenditure items. However, where this would involve a large volume of documentation, an alternative approach might involve requesting only the supporting documentation in respect of </w:t>
      </w:r>
      <w:r w:rsidR="00E46C27">
        <w:t>a</w:t>
      </w:r>
      <w:r w:rsidR="00E46C27" w:rsidRPr="00062196">
        <w:t xml:space="preserve"> sample of expenditure items selected for the detailed review as explained below</w:t>
      </w:r>
    </w:p>
    <w:p w14:paraId="762F3A48" w14:textId="6F9DC68E" w:rsidR="00E46C27" w:rsidRPr="00967B35" w:rsidRDefault="00E46C27" w:rsidP="009F01EE">
      <w:pPr>
        <w:pStyle w:val="ListParagraph"/>
        <w:numPr>
          <w:ilvl w:val="0"/>
          <w:numId w:val="36"/>
        </w:numPr>
        <w:spacing w:before="0"/>
        <w:ind w:left="284" w:hanging="284"/>
        <w:contextualSpacing w:val="0"/>
      </w:pPr>
      <w:r w:rsidRPr="00CD5C55">
        <w:t xml:space="preserve">In a case of a </w:t>
      </w:r>
      <w:r>
        <w:t>large</w:t>
      </w:r>
      <w:r w:rsidRPr="00CD5C55">
        <w:t xml:space="preserve"> volume of transactions/supporting documents accompanying the financial reports, it is advisable to focus verifications on samples of transactions/items, selected based </w:t>
      </w:r>
      <w:r w:rsidRPr="00812E01">
        <w:t>on risk factors</w:t>
      </w:r>
    </w:p>
    <w:p w14:paraId="0CDBD3F8" w14:textId="7FCBFC0A" w:rsidR="00E46C27" w:rsidRPr="00062196" w:rsidRDefault="004379FE" w:rsidP="009F01EE">
      <w:pPr>
        <w:pStyle w:val="ListParagraph"/>
        <w:numPr>
          <w:ilvl w:val="0"/>
          <w:numId w:val="36"/>
        </w:numPr>
        <w:spacing w:before="0"/>
        <w:ind w:left="284" w:hanging="284"/>
        <w:contextualSpacing w:val="0"/>
      </w:pPr>
      <w:r w:rsidRPr="009B7F14">
        <w:rPr>
          <w:noProof/>
          <w:lang w:eastAsia="en-GB"/>
        </w:rPr>
        <mc:AlternateContent>
          <mc:Choice Requires="wps">
            <w:drawing>
              <wp:anchor distT="0" distB="0" distL="114300" distR="114300" simplePos="0" relativeHeight="251663360" behindDoc="1" locked="0" layoutInCell="1" allowOverlap="1" wp14:anchorId="242F956F" wp14:editId="2D686B76">
                <wp:simplePos x="0" y="0"/>
                <wp:positionH relativeFrom="margin">
                  <wp:posOffset>2905125</wp:posOffset>
                </wp:positionH>
                <wp:positionV relativeFrom="paragraph">
                  <wp:posOffset>147320</wp:posOffset>
                </wp:positionV>
                <wp:extent cx="2971800" cy="3733800"/>
                <wp:effectExtent l="0" t="0" r="0" b="0"/>
                <wp:wrapThrough wrapText="bothSides">
                  <wp:wrapPolygon edited="0">
                    <wp:start x="0" y="0"/>
                    <wp:lineTo x="0" y="21490"/>
                    <wp:lineTo x="21462" y="21490"/>
                    <wp:lineTo x="21462" y="0"/>
                    <wp:lineTo x="0" y="0"/>
                  </wp:wrapPolygon>
                </wp:wrapThrough>
                <wp:docPr id="2" name="Flowchart: Process 2"/>
                <wp:cNvGraphicFramePr/>
                <a:graphic xmlns:a="http://schemas.openxmlformats.org/drawingml/2006/main">
                  <a:graphicData uri="http://schemas.microsoft.com/office/word/2010/wordprocessingShape">
                    <wps:wsp>
                      <wps:cNvSpPr/>
                      <wps:spPr>
                        <a:xfrm>
                          <a:off x="0" y="0"/>
                          <a:ext cx="2971800" cy="3733800"/>
                        </a:xfrm>
                        <a:prstGeom prst="flowChartProcess">
                          <a:avLst/>
                        </a:prstGeom>
                        <a:solidFill>
                          <a:schemeClr val="accent1">
                            <a:lumMod val="20000"/>
                            <a:lumOff val="80000"/>
                          </a:schemeClr>
                        </a:solidFill>
                        <a:ln w="9525" cap="flat" cmpd="sng" algn="ctr">
                          <a:noFill/>
                          <a:prstDash val="solid"/>
                          <a:miter lim="800000"/>
                        </a:ln>
                        <a:effectLst/>
                      </wps:spPr>
                      <wps:txbx>
                        <w:txbxContent>
                          <w:p w14:paraId="1DB8BD61" w14:textId="77777777" w:rsidR="00A87AB3" w:rsidRPr="000A63D8" w:rsidRDefault="00A87AB3" w:rsidP="004379FE">
                            <w:pPr>
                              <w:jc w:val="left"/>
                              <w:rPr>
                                <w:b/>
                                <w:bCs/>
                                <w:color w:val="C45911" w:themeColor="accent2" w:themeShade="BF"/>
                                <w:sz w:val="18"/>
                                <w:szCs w:val="18"/>
                              </w:rPr>
                            </w:pPr>
                            <w:r w:rsidRPr="000A63D8">
                              <w:rPr>
                                <w:b/>
                                <w:bCs/>
                                <w:color w:val="C45911" w:themeColor="accent2" w:themeShade="BF"/>
                                <w:sz w:val="18"/>
                                <w:szCs w:val="18"/>
                              </w:rPr>
                              <w:t>Good practice:</w:t>
                            </w:r>
                          </w:p>
                          <w:p w14:paraId="594AEBD7" w14:textId="483E3FF3" w:rsidR="00A87AB3" w:rsidRPr="000A63D8" w:rsidRDefault="00A87AB3" w:rsidP="004379FE">
                            <w:pPr>
                              <w:spacing w:before="0"/>
                              <w:jc w:val="left"/>
                              <w:rPr>
                                <w:color w:val="C45911" w:themeColor="accent2" w:themeShade="BF"/>
                                <w:sz w:val="18"/>
                                <w:szCs w:val="18"/>
                              </w:rPr>
                            </w:pPr>
                            <w:r w:rsidRPr="000A63D8">
                              <w:rPr>
                                <w:i/>
                                <w:color w:val="C45911" w:themeColor="accent2" w:themeShade="BF"/>
                                <w:sz w:val="18"/>
                                <w:szCs w:val="18"/>
                              </w:rPr>
                              <w:t xml:space="preserve">Sampling - proof of expenditure </w:t>
                            </w:r>
                          </w:p>
                          <w:p w14:paraId="469E1A9C" w14:textId="77777777" w:rsidR="00A87AB3" w:rsidRPr="000A63D8" w:rsidRDefault="00A87AB3" w:rsidP="00115052">
                            <w:pPr>
                              <w:spacing w:after="0"/>
                              <w:rPr>
                                <w:bCs/>
                                <w:sz w:val="18"/>
                                <w:szCs w:val="18"/>
                              </w:rPr>
                            </w:pPr>
                            <w:r w:rsidRPr="000A63D8">
                              <w:rPr>
                                <w:bCs/>
                                <w:sz w:val="18"/>
                                <w:szCs w:val="18"/>
                              </w:rPr>
                              <w:t>The following risk factors can be taken into account when selecting a sample of transactions/items for a detailed review:</w:t>
                            </w:r>
                          </w:p>
                          <w:p w14:paraId="3A6FAB50" w14:textId="63E877DF" w:rsidR="00A87AB3" w:rsidRPr="000A63D8" w:rsidRDefault="00A87AB3" w:rsidP="009F01EE">
                            <w:pPr>
                              <w:pStyle w:val="ListParagraph"/>
                              <w:numPr>
                                <w:ilvl w:val="0"/>
                                <w:numId w:val="37"/>
                              </w:numPr>
                              <w:ind w:left="284" w:hanging="284"/>
                              <w:contextualSpacing w:val="0"/>
                              <w:rPr>
                                <w:rFonts w:cs="Times New Roman"/>
                                <w:color w:val="000000"/>
                                <w:sz w:val="18"/>
                                <w:szCs w:val="18"/>
                              </w:rPr>
                            </w:pPr>
                            <w:r w:rsidRPr="000A63D8">
                              <w:rPr>
                                <w:rFonts w:cs="Times New Roman"/>
                                <w:color w:val="000000"/>
                                <w:sz w:val="18"/>
                                <w:szCs w:val="18"/>
                              </w:rPr>
                              <w:t>A type of a PP/project</w:t>
                            </w:r>
                          </w:p>
                          <w:p w14:paraId="690BF154" w14:textId="77777777" w:rsidR="00A87AB3" w:rsidRPr="000A63D8" w:rsidRDefault="00A87AB3" w:rsidP="009F01EE">
                            <w:pPr>
                              <w:pStyle w:val="ListParagraph"/>
                              <w:numPr>
                                <w:ilvl w:val="0"/>
                                <w:numId w:val="37"/>
                              </w:numPr>
                              <w:ind w:left="284" w:hanging="284"/>
                              <w:contextualSpacing w:val="0"/>
                              <w:rPr>
                                <w:rFonts w:cs="Times New Roman"/>
                                <w:color w:val="000000"/>
                                <w:sz w:val="18"/>
                                <w:szCs w:val="18"/>
                              </w:rPr>
                            </w:pPr>
                            <w:r w:rsidRPr="000A63D8">
                              <w:rPr>
                                <w:rFonts w:cs="Times New Roman"/>
                                <w:color w:val="000000"/>
                                <w:sz w:val="18"/>
                                <w:szCs w:val="18"/>
                              </w:rPr>
                              <w:t>A value/type of expenditure items</w:t>
                            </w:r>
                          </w:p>
                          <w:p w14:paraId="0A36187B" w14:textId="6668F769" w:rsidR="00A87AB3" w:rsidRPr="000A63D8" w:rsidRDefault="00A87AB3" w:rsidP="009F01EE">
                            <w:pPr>
                              <w:pStyle w:val="ListParagraph"/>
                              <w:numPr>
                                <w:ilvl w:val="0"/>
                                <w:numId w:val="37"/>
                              </w:numPr>
                              <w:ind w:left="284" w:hanging="284"/>
                              <w:contextualSpacing w:val="0"/>
                              <w:rPr>
                                <w:rFonts w:cs="Times New Roman"/>
                                <w:color w:val="000000"/>
                                <w:sz w:val="18"/>
                                <w:szCs w:val="18"/>
                              </w:rPr>
                            </w:pPr>
                            <w:r w:rsidRPr="000A63D8">
                              <w:rPr>
                                <w:rFonts w:cs="Times New Roman"/>
                                <w:color w:val="000000"/>
                                <w:sz w:val="18"/>
                                <w:szCs w:val="18"/>
                              </w:rPr>
                              <w:t>A type of physical progress indicators</w:t>
                            </w:r>
                          </w:p>
                          <w:p w14:paraId="73BB64BE" w14:textId="5BFFE140" w:rsidR="00A87AB3" w:rsidRPr="000A63D8" w:rsidRDefault="00A87AB3" w:rsidP="009F01EE">
                            <w:pPr>
                              <w:pStyle w:val="ListParagraph"/>
                              <w:numPr>
                                <w:ilvl w:val="0"/>
                                <w:numId w:val="37"/>
                              </w:numPr>
                              <w:ind w:left="284" w:hanging="284"/>
                              <w:contextualSpacing w:val="0"/>
                              <w:rPr>
                                <w:rFonts w:cs="Times New Roman"/>
                                <w:color w:val="000000"/>
                                <w:sz w:val="18"/>
                                <w:szCs w:val="18"/>
                              </w:rPr>
                            </w:pPr>
                            <w:r w:rsidRPr="000A63D8">
                              <w:rPr>
                                <w:rFonts w:cs="Times New Roman"/>
                                <w:color w:val="000000"/>
                                <w:sz w:val="18"/>
                                <w:szCs w:val="18"/>
                              </w:rPr>
                              <w:t>The past experience (e.g. a number and gravity of problems identified when reviewing previous reports from the PP)</w:t>
                            </w:r>
                          </w:p>
                          <w:p w14:paraId="7714AFC7" w14:textId="2781BEF4" w:rsidR="00A87AB3" w:rsidRPr="000A63D8" w:rsidRDefault="00A87AB3" w:rsidP="009F01EE">
                            <w:pPr>
                              <w:pStyle w:val="ListParagraph"/>
                              <w:numPr>
                                <w:ilvl w:val="0"/>
                                <w:numId w:val="37"/>
                              </w:numPr>
                              <w:ind w:left="284" w:hanging="284"/>
                              <w:contextualSpacing w:val="0"/>
                              <w:rPr>
                                <w:rFonts w:cs="Times New Roman"/>
                                <w:color w:val="000000"/>
                                <w:sz w:val="18"/>
                                <w:szCs w:val="18"/>
                              </w:rPr>
                            </w:pPr>
                            <w:r w:rsidRPr="000A63D8">
                              <w:rPr>
                                <w:rFonts w:cs="Times New Roman"/>
                                <w:color w:val="000000"/>
                                <w:sz w:val="18"/>
                                <w:szCs w:val="18"/>
                              </w:rPr>
                              <w:t xml:space="preserve">Control procedures in place at the PP level, (BUT this does not replace / substitute the PO verifications)   </w:t>
                            </w:r>
                          </w:p>
                          <w:p w14:paraId="6FA84EB7" w14:textId="77777777" w:rsidR="00A87AB3" w:rsidRPr="000A63D8" w:rsidRDefault="00A87AB3" w:rsidP="00115052">
                            <w:pPr>
                              <w:contextualSpacing/>
                              <w:rPr>
                                <w:rFonts w:cs="Times New Roman"/>
                                <w:color w:val="000000"/>
                                <w:sz w:val="18"/>
                                <w:szCs w:val="18"/>
                              </w:rPr>
                            </w:pPr>
                            <w:r w:rsidRPr="000A63D8">
                              <w:rPr>
                                <w:sz w:val="18"/>
                                <w:szCs w:val="18"/>
                                <w:lang w:val="en-IE"/>
                              </w:rPr>
                              <w:t xml:space="preserve">The sample selected based on the risk factors should be </w:t>
                            </w:r>
                            <w:r w:rsidRPr="000A63D8">
                              <w:rPr>
                                <w:rFonts w:cs="Times New Roman"/>
                                <w:color w:val="000000"/>
                                <w:sz w:val="18"/>
                                <w:szCs w:val="18"/>
                              </w:rPr>
                              <w:t>complemented by a random sample of invoices/transactions to ensure that all items have a probability to be selected.</w:t>
                            </w:r>
                          </w:p>
                          <w:p w14:paraId="686367B9" w14:textId="77777777" w:rsidR="00A87AB3" w:rsidRPr="000A63D8" w:rsidRDefault="00A87AB3" w:rsidP="00904FBF">
                            <w:pPr>
                              <w:pStyle w:val="ListParagraph"/>
                              <w:ind w:left="284"/>
                              <w:rPr>
                                <w:color w:val="FFFFFF" w:themeColor="background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F956F" id="Flowchart: Process 2" o:spid="_x0000_s1045" type="#_x0000_t109" style="position:absolute;left:0;text-align:left;margin-left:228.75pt;margin-top:11.6pt;width:234pt;height:29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" fillcolor="#deeaf6 [660]" stroked="f">
                <v:textbox>
                  <w:txbxContent>
                    <w:p w14:paraId="1DB8BD61" w14:textId="77777777" w:rsidR="00A87AB3" w:rsidRPr="000A63D8" w:rsidRDefault="00A87AB3" w:rsidP="004379FE">
                      <w:pPr>
                        <w:jc w:val="left"/>
                        <w:rPr>
                          <w:b/>
                          <w:bCs/>
                          <w:color w:val="C45911" w:themeColor="accent2" w:themeShade="BF"/>
                          <w:sz w:val="18"/>
                          <w:szCs w:val="18"/>
                        </w:rPr>
                      </w:pPr>
                      <w:r w:rsidRPr="000A63D8">
                        <w:rPr>
                          <w:b/>
                          <w:bCs/>
                          <w:color w:val="C45911" w:themeColor="accent2" w:themeShade="BF"/>
                          <w:sz w:val="18"/>
                          <w:szCs w:val="18"/>
                        </w:rPr>
                        <w:t>Good practice:</w:t>
                      </w:r>
                    </w:p>
                    <w:p w14:paraId="594AEBD7" w14:textId="483E3FF3" w:rsidR="00A87AB3" w:rsidRPr="000A63D8" w:rsidRDefault="00A87AB3" w:rsidP="004379FE">
                      <w:pPr>
                        <w:spacing w:before="0"/>
                        <w:jc w:val="left"/>
                        <w:rPr>
                          <w:color w:val="C45911" w:themeColor="accent2" w:themeShade="BF"/>
                          <w:sz w:val="18"/>
                          <w:szCs w:val="18"/>
                        </w:rPr>
                      </w:pPr>
                      <w:r w:rsidRPr="000A63D8">
                        <w:rPr>
                          <w:i/>
                          <w:color w:val="C45911" w:themeColor="accent2" w:themeShade="BF"/>
                          <w:sz w:val="18"/>
                          <w:szCs w:val="18"/>
                        </w:rPr>
                        <w:t xml:space="preserve">Sampling - proof of expenditure </w:t>
                      </w:r>
                    </w:p>
                    <w:p w14:paraId="469E1A9C" w14:textId="77777777" w:rsidR="00A87AB3" w:rsidRPr="000A63D8" w:rsidRDefault="00A87AB3" w:rsidP="00115052">
                      <w:pPr>
                        <w:spacing w:after="0"/>
                        <w:rPr>
                          <w:bCs/>
                          <w:sz w:val="18"/>
                          <w:szCs w:val="18"/>
                        </w:rPr>
                      </w:pPr>
                      <w:r w:rsidRPr="000A63D8">
                        <w:rPr>
                          <w:bCs/>
                          <w:sz w:val="18"/>
                          <w:szCs w:val="18"/>
                        </w:rPr>
                        <w:t>The following risk factors can be taken into account when selecting a sample of transactions/items for a detailed review:</w:t>
                      </w:r>
                    </w:p>
                    <w:p w14:paraId="3A6FAB50" w14:textId="63E877DF" w:rsidR="00A87AB3" w:rsidRPr="000A63D8" w:rsidRDefault="00A87AB3" w:rsidP="009F01EE">
                      <w:pPr>
                        <w:pStyle w:val="ListParagraph"/>
                        <w:numPr>
                          <w:ilvl w:val="0"/>
                          <w:numId w:val="37"/>
                        </w:numPr>
                        <w:ind w:left="284" w:hanging="284"/>
                        <w:contextualSpacing w:val="0"/>
                        <w:rPr>
                          <w:rFonts w:cs="Times New Roman"/>
                          <w:color w:val="000000"/>
                          <w:sz w:val="18"/>
                          <w:szCs w:val="18"/>
                        </w:rPr>
                      </w:pPr>
                      <w:r w:rsidRPr="000A63D8">
                        <w:rPr>
                          <w:rFonts w:cs="Times New Roman"/>
                          <w:color w:val="000000"/>
                          <w:sz w:val="18"/>
                          <w:szCs w:val="18"/>
                        </w:rPr>
                        <w:t>A type of a PP/project</w:t>
                      </w:r>
                    </w:p>
                    <w:p w14:paraId="690BF154" w14:textId="77777777" w:rsidR="00A87AB3" w:rsidRPr="000A63D8" w:rsidRDefault="00A87AB3" w:rsidP="009F01EE">
                      <w:pPr>
                        <w:pStyle w:val="ListParagraph"/>
                        <w:numPr>
                          <w:ilvl w:val="0"/>
                          <w:numId w:val="37"/>
                        </w:numPr>
                        <w:ind w:left="284" w:hanging="284"/>
                        <w:contextualSpacing w:val="0"/>
                        <w:rPr>
                          <w:rFonts w:cs="Times New Roman"/>
                          <w:color w:val="000000"/>
                          <w:sz w:val="18"/>
                          <w:szCs w:val="18"/>
                        </w:rPr>
                      </w:pPr>
                      <w:r w:rsidRPr="000A63D8">
                        <w:rPr>
                          <w:rFonts w:cs="Times New Roman"/>
                          <w:color w:val="000000"/>
                          <w:sz w:val="18"/>
                          <w:szCs w:val="18"/>
                        </w:rPr>
                        <w:t>A value/type of expenditure items</w:t>
                      </w:r>
                    </w:p>
                    <w:p w14:paraId="0A36187B" w14:textId="6668F769" w:rsidR="00A87AB3" w:rsidRPr="000A63D8" w:rsidRDefault="00A87AB3" w:rsidP="009F01EE">
                      <w:pPr>
                        <w:pStyle w:val="ListParagraph"/>
                        <w:numPr>
                          <w:ilvl w:val="0"/>
                          <w:numId w:val="37"/>
                        </w:numPr>
                        <w:ind w:left="284" w:hanging="284"/>
                        <w:contextualSpacing w:val="0"/>
                        <w:rPr>
                          <w:rFonts w:cs="Times New Roman"/>
                          <w:color w:val="000000"/>
                          <w:sz w:val="18"/>
                          <w:szCs w:val="18"/>
                        </w:rPr>
                      </w:pPr>
                      <w:r w:rsidRPr="000A63D8">
                        <w:rPr>
                          <w:rFonts w:cs="Times New Roman"/>
                          <w:color w:val="000000"/>
                          <w:sz w:val="18"/>
                          <w:szCs w:val="18"/>
                        </w:rPr>
                        <w:t>A type of physical progress indicators</w:t>
                      </w:r>
                    </w:p>
                    <w:p w14:paraId="73BB64BE" w14:textId="5BFFE140" w:rsidR="00A87AB3" w:rsidRPr="000A63D8" w:rsidRDefault="00A87AB3" w:rsidP="009F01EE">
                      <w:pPr>
                        <w:pStyle w:val="ListParagraph"/>
                        <w:numPr>
                          <w:ilvl w:val="0"/>
                          <w:numId w:val="37"/>
                        </w:numPr>
                        <w:ind w:left="284" w:hanging="284"/>
                        <w:contextualSpacing w:val="0"/>
                        <w:rPr>
                          <w:rFonts w:cs="Times New Roman"/>
                          <w:color w:val="000000"/>
                          <w:sz w:val="18"/>
                          <w:szCs w:val="18"/>
                        </w:rPr>
                      </w:pPr>
                      <w:r w:rsidRPr="000A63D8">
                        <w:rPr>
                          <w:rFonts w:cs="Times New Roman"/>
                          <w:color w:val="000000"/>
                          <w:sz w:val="18"/>
                          <w:szCs w:val="18"/>
                        </w:rPr>
                        <w:t>The past experience (e.g. a number and gravity of problems identified when reviewing previous reports from the PP)</w:t>
                      </w:r>
                    </w:p>
                    <w:p w14:paraId="7714AFC7" w14:textId="2781BEF4" w:rsidR="00A87AB3" w:rsidRPr="000A63D8" w:rsidRDefault="00A87AB3" w:rsidP="009F01EE">
                      <w:pPr>
                        <w:pStyle w:val="ListParagraph"/>
                        <w:numPr>
                          <w:ilvl w:val="0"/>
                          <w:numId w:val="37"/>
                        </w:numPr>
                        <w:ind w:left="284" w:hanging="284"/>
                        <w:contextualSpacing w:val="0"/>
                        <w:rPr>
                          <w:rFonts w:cs="Times New Roman"/>
                          <w:color w:val="000000"/>
                          <w:sz w:val="18"/>
                          <w:szCs w:val="18"/>
                        </w:rPr>
                      </w:pPr>
                      <w:r w:rsidRPr="000A63D8">
                        <w:rPr>
                          <w:rFonts w:cs="Times New Roman"/>
                          <w:color w:val="000000"/>
                          <w:sz w:val="18"/>
                          <w:szCs w:val="18"/>
                        </w:rPr>
                        <w:t xml:space="preserve">Control procedures in place at the PP level, (BUT this does not replace / substitute the PO verifications)   </w:t>
                      </w:r>
                    </w:p>
                    <w:p w14:paraId="6FA84EB7" w14:textId="77777777" w:rsidR="00A87AB3" w:rsidRPr="000A63D8" w:rsidRDefault="00A87AB3" w:rsidP="00115052">
                      <w:pPr>
                        <w:contextualSpacing/>
                        <w:rPr>
                          <w:rFonts w:cs="Times New Roman"/>
                          <w:color w:val="000000"/>
                          <w:sz w:val="18"/>
                          <w:szCs w:val="18"/>
                        </w:rPr>
                      </w:pPr>
                      <w:r w:rsidRPr="000A63D8">
                        <w:rPr>
                          <w:sz w:val="18"/>
                          <w:szCs w:val="18"/>
                          <w:lang w:val="en-IE"/>
                        </w:rPr>
                        <w:t xml:space="preserve">The sample selected based on the risk factors should be </w:t>
                      </w:r>
                      <w:r w:rsidRPr="000A63D8">
                        <w:rPr>
                          <w:rFonts w:cs="Times New Roman"/>
                          <w:color w:val="000000"/>
                          <w:sz w:val="18"/>
                          <w:szCs w:val="18"/>
                        </w:rPr>
                        <w:t>complemented by a random sample of invoices/transactions to ensure that all items have a probability to be selected.</w:t>
                      </w:r>
                    </w:p>
                    <w:p w14:paraId="686367B9" w14:textId="77777777" w:rsidR="00A87AB3" w:rsidRPr="000A63D8" w:rsidRDefault="00A87AB3" w:rsidP="00904FBF">
                      <w:pPr>
                        <w:pStyle w:val="ListParagraph"/>
                        <w:ind w:left="284"/>
                        <w:rPr>
                          <w:color w:val="FFFFFF" w:themeColor="background1"/>
                          <w:sz w:val="18"/>
                          <w:szCs w:val="18"/>
                        </w:rPr>
                      </w:pPr>
                    </w:p>
                  </w:txbxContent>
                </v:textbox>
                <w10:wrap type="through" anchorx="margin"/>
              </v:shape>
            </w:pict>
          </mc:Fallback>
        </mc:AlternateContent>
      </w:r>
      <w:r w:rsidR="00E46C27" w:rsidRPr="00062196">
        <w:t>The sampling met</w:t>
      </w:r>
      <w:r w:rsidR="00E46C27">
        <w:t>hodology used and</w:t>
      </w:r>
      <w:r w:rsidR="00E46C27" w:rsidRPr="00967B35">
        <w:t xml:space="preserve"> </w:t>
      </w:r>
      <w:r w:rsidR="00E46C27" w:rsidRPr="001F6DCF">
        <w:t xml:space="preserve">a </w:t>
      </w:r>
      <w:r w:rsidR="00E46C27">
        <w:t>reasonable percentage</w:t>
      </w:r>
      <w:r w:rsidR="00E46C27" w:rsidRPr="00062196">
        <w:t xml:space="preserve"> of declared project </w:t>
      </w:r>
      <w:r w:rsidR="00550B8E">
        <w:t>expenditures</w:t>
      </w:r>
      <w:r w:rsidR="00550B8E" w:rsidRPr="00062196">
        <w:t xml:space="preserve"> </w:t>
      </w:r>
      <w:r w:rsidR="00E46C27" w:rsidRPr="00062196">
        <w:t xml:space="preserve">to be verified against </w:t>
      </w:r>
      <w:r w:rsidR="001C51DA">
        <w:t>the proof</w:t>
      </w:r>
      <w:r w:rsidR="00812E01">
        <w:t xml:space="preserve"> of expenditure</w:t>
      </w:r>
      <w:r w:rsidR="00E46C27" w:rsidRPr="00062196">
        <w:t xml:space="preserve"> (per </w:t>
      </w:r>
      <w:r w:rsidR="00E46C27">
        <w:t xml:space="preserve">each </w:t>
      </w:r>
      <w:r w:rsidR="00E46C27" w:rsidRPr="00062196">
        <w:t xml:space="preserve">risk level) shall be established ex-ante by </w:t>
      </w:r>
      <w:r w:rsidR="00E46C27">
        <w:t>the P</w:t>
      </w:r>
      <w:r w:rsidR="00E46C27" w:rsidRPr="00062196">
        <w:t>O</w:t>
      </w:r>
      <w:r w:rsidR="001C51DA">
        <w:t>,</w:t>
      </w:r>
      <w:r w:rsidR="00E46C27" w:rsidRPr="00062196">
        <w:t xml:space="preserve"> described </w:t>
      </w:r>
      <w:r w:rsidR="001C51DA">
        <w:t>and justified in the MCS description</w:t>
      </w:r>
    </w:p>
    <w:p w14:paraId="00D87AEA" w14:textId="7A75DAD1" w:rsidR="00716E75" w:rsidRPr="00967B35" w:rsidRDefault="00716E75" w:rsidP="009F01EE">
      <w:pPr>
        <w:pStyle w:val="ListParagraph"/>
        <w:numPr>
          <w:ilvl w:val="0"/>
          <w:numId w:val="36"/>
        </w:numPr>
        <w:spacing w:before="0"/>
        <w:ind w:left="284" w:hanging="284"/>
        <w:contextualSpacing w:val="0"/>
      </w:pPr>
      <w:r w:rsidRPr="00967B35">
        <w:t xml:space="preserve">In case that </w:t>
      </w:r>
      <w:r w:rsidR="00DC0EC9" w:rsidRPr="00967B35">
        <w:t xml:space="preserve">serious </w:t>
      </w:r>
      <w:r w:rsidRPr="00967B35">
        <w:t>errors are found in the sample tested, it is recommended to extend the testing to determine whether the errors have a common feature (</w:t>
      </w:r>
      <w:r w:rsidR="008F2D31" w:rsidRPr="00967B35">
        <w:t>i.e.</w:t>
      </w:r>
      <w:r w:rsidRPr="00967B35">
        <w:t xml:space="preserve"> type of transaction, location, product, period of time) and then either exte</w:t>
      </w:r>
      <w:r w:rsidR="008F0B35" w:rsidRPr="00967B35">
        <w:t xml:space="preserve">nd the verifications to 100% or </w:t>
      </w:r>
      <w:r w:rsidRPr="00967B35">
        <w:t xml:space="preserve">project the error in the sample to the unchecked population. </w:t>
      </w:r>
    </w:p>
    <w:p w14:paraId="16A68D2F" w14:textId="3D6D6401" w:rsidR="00716E75" w:rsidRPr="00967B35" w:rsidRDefault="00431236" w:rsidP="009F01EE">
      <w:pPr>
        <w:pStyle w:val="ListParagraph"/>
        <w:numPr>
          <w:ilvl w:val="0"/>
          <w:numId w:val="36"/>
        </w:numPr>
        <w:spacing w:before="0"/>
        <w:ind w:left="284" w:hanging="284"/>
        <w:contextualSpacing w:val="0"/>
      </w:pPr>
      <w:r w:rsidRPr="00967B35">
        <w:t xml:space="preserve">The </w:t>
      </w:r>
      <w:r w:rsidR="00716E75" w:rsidRPr="00967B35">
        <w:t>best practice</w:t>
      </w:r>
      <w:r w:rsidRPr="00967B35">
        <w:t xml:space="preserve"> is </w:t>
      </w:r>
      <w:r w:rsidR="00716E75" w:rsidRPr="00967B35">
        <w:t xml:space="preserve">to verify </w:t>
      </w:r>
      <w:r w:rsidRPr="00967B35">
        <w:t xml:space="preserve">a </w:t>
      </w:r>
      <w:r w:rsidR="00716E75" w:rsidRPr="00967B35">
        <w:t xml:space="preserve">compliance with </w:t>
      </w:r>
      <w:r w:rsidRPr="00967B35">
        <w:t xml:space="preserve">the </w:t>
      </w:r>
      <w:r w:rsidR="00716E75" w:rsidRPr="00967B35">
        <w:t xml:space="preserve">public procurement procedures during the administrative verifications. </w:t>
      </w:r>
      <w:r w:rsidRPr="00967B35">
        <w:t>I</w:t>
      </w:r>
      <w:r w:rsidR="00716E75" w:rsidRPr="00967B35">
        <w:t>t is recommended, to verify all contracts above the EU thresholds and a sample of contracts below the threshold</w:t>
      </w:r>
      <w:r w:rsidRPr="00967B35">
        <w:t>s</w:t>
      </w:r>
      <w:r w:rsidR="00716E75" w:rsidRPr="00967B35">
        <w:t xml:space="preserve"> </w:t>
      </w:r>
      <w:r w:rsidRPr="00967B35">
        <w:t>selected using a risk based approach</w:t>
      </w:r>
      <w:r w:rsidR="00716E75" w:rsidRPr="00967B35">
        <w:t xml:space="preserve"> </w:t>
      </w:r>
    </w:p>
    <w:p w14:paraId="559CCD13" w14:textId="63889934" w:rsidR="00386D12" w:rsidRPr="009B7F14" w:rsidRDefault="00431236" w:rsidP="00920571">
      <w:pPr>
        <w:pStyle w:val="Heading3"/>
      </w:pPr>
      <w:r>
        <w:t>O</w:t>
      </w:r>
      <w:r w:rsidR="00716E75" w:rsidRPr="009B7F14">
        <w:t>n-the-spot verificatio</w:t>
      </w:r>
      <w:r w:rsidR="00386D12" w:rsidRPr="009B7F14">
        <w:t>ns</w:t>
      </w:r>
      <w:r>
        <w:t xml:space="preserve"> of projects (</w:t>
      </w:r>
      <w:r w:rsidRPr="009B7F14">
        <w:t>Reg. Art. 5.6</w:t>
      </w:r>
      <w:r>
        <w:t>.2 (ii)</w:t>
      </w:r>
      <w:r w:rsidR="002C3C0B">
        <w:t>)</w:t>
      </w:r>
    </w:p>
    <w:p w14:paraId="3C481F7A" w14:textId="77777777" w:rsidR="009B4899" w:rsidRDefault="009B4899" w:rsidP="00376576">
      <w:pPr>
        <w:autoSpaceDE w:val="0"/>
        <w:autoSpaceDN w:val="0"/>
        <w:adjustRightInd w:val="0"/>
        <w:rPr>
          <w:rFonts w:cs="Times New Roman"/>
          <w:color w:val="000000"/>
        </w:rPr>
      </w:pPr>
      <w:r w:rsidRPr="009B4899">
        <w:rPr>
          <w:rFonts w:cs="Times New Roman"/>
          <w:color w:val="000000"/>
        </w:rPr>
        <w:t xml:space="preserve">Where </w:t>
      </w:r>
      <w:r>
        <w:rPr>
          <w:rFonts w:cs="Times New Roman"/>
          <w:color w:val="000000"/>
        </w:rPr>
        <w:t xml:space="preserve">the </w:t>
      </w:r>
      <w:r w:rsidRPr="009B4899">
        <w:rPr>
          <w:rFonts w:cs="Times New Roman"/>
          <w:color w:val="000000"/>
        </w:rPr>
        <w:t xml:space="preserve">administrative verifications are exhaustive and detailed, there are still some elements concerning the legality and regularity of expenditure that cannot be verified through desk-based checks. </w:t>
      </w:r>
    </w:p>
    <w:p w14:paraId="696461FF" w14:textId="25BAD940" w:rsidR="009B4899" w:rsidRPr="00062196" w:rsidRDefault="009B4899" w:rsidP="009B4899">
      <w:pPr>
        <w:spacing w:before="0"/>
      </w:pPr>
      <w:r w:rsidRPr="00062196">
        <w:t>On-the-spot verifications should be carried out in order to check in particular:</w:t>
      </w:r>
    </w:p>
    <w:p w14:paraId="4B106DC5" w14:textId="77777777" w:rsidR="009B4899" w:rsidRDefault="009B4899" w:rsidP="009F01EE">
      <w:pPr>
        <w:pStyle w:val="ListParagraph"/>
        <w:numPr>
          <w:ilvl w:val="0"/>
          <w:numId w:val="36"/>
        </w:numPr>
        <w:spacing w:before="0"/>
        <w:ind w:left="284" w:hanging="284"/>
        <w:contextualSpacing w:val="0"/>
      </w:pPr>
      <w:r w:rsidRPr="00062196">
        <w:t>The reality/physical existence of the project</w:t>
      </w:r>
    </w:p>
    <w:p w14:paraId="504FFB41" w14:textId="77777777" w:rsidR="009B4899" w:rsidRDefault="009B4899" w:rsidP="009F01EE">
      <w:pPr>
        <w:pStyle w:val="ListParagraph"/>
        <w:numPr>
          <w:ilvl w:val="0"/>
          <w:numId w:val="36"/>
        </w:numPr>
        <w:spacing w:before="0"/>
        <w:ind w:left="284" w:hanging="284"/>
        <w:contextualSpacing w:val="0"/>
      </w:pPr>
      <w:r w:rsidRPr="00062196">
        <w:t>Delivery of the product or service in full compliance with the project contract</w:t>
      </w:r>
    </w:p>
    <w:p w14:paraId="2766BA8A" w14:textId="4403BE5C" w:rsidR="009B4899" w:rsidRDefault="009B4899" w:rsidP="009F01EE">
      <w:pPr>
        <w:pStyle w:val="ListParagraph"/>
        <w:numPr>
          <w:ilvl w:val="0"/>
          <w:numId w:val="36"/>
        </w:numPr>
        <w:spacing w:before="0"/>
        <w:ind w:left="284" w:hanging="284"/>
        <w:contextualSpacing w:val="0"/>
      </w:pPr>
      <w:r w:rsidRPr="00062196">
        <w:t>Physical progress</w:t>
      </w:r>
    </w:p>
    <w:p w14:paraId="2B0F1660" w14:textId="704D193C" w:rsidR="009B4899" w:rsidRDefault="0028414F" w:rsidP="009F01EE">
      <w:pPr>
        <w:pStyle w:val="ListParagraph"/>
        <w:numPr>
          <w:ilvl w:val="0"/>
          <w:numId w:val="36"/>
        </w:numPr>
        <w:spacing w:before="0"/>
        <w:ind w:left="284" w:hanging="284"/>
        <w:contextualSpacing w:val="0"/>
      </w:pPr>
      <w:r>
        <w:t>Compliance</w:t>
      </w:r>
      <w:r w:rsidR="009B4899">
        <w:t xml:space="preserve"> with the rules on publicity</w:t>
      </w:r>
      <w:r w:rsidR="00D675EE">
        <w:t xml:space="preserve"> and visibility</w:t>
      </w:r>
      <w:r w:rsidR="009B4899">
        <w:t>, etc.</w:t>
      </w:r>
    </w:p>
    <w:p w14:paraId="7CDA3D55" w14:textId="79D33216" w:rsidR="009B4899" w:rsidRDefault="009B4899" w:rsidP="009F01EE">
      <w:pPr>
        <w:pStyle w:val="ListParagraph"/>
        <w:numPr>
          <w:ilvl w:val="0"/>
          <w:numId w:val="36"/>
        </w:numPr>
        <w:spacing w:before="0"/>
        <w:ind w:left="284" w:hanging="284"/>
        <w:contextualSpacing w:val="0"/>
      </w:pPr>
      <w:r w:rsidRPr="00062196">
        <w:t xml:space="preserve">Existence of original supporting documents (especially when the same </w:t>
      </w:r>
      <w:r w:rsidR="008F0B35">
        <w:t>PP</w:t>
      </w:r>
      <w:r w:rsidRPr="00062196">
        <w:t xml:space="preserve"> implements more than one project at the same time or rece</w:t>
      </w:r>
      <w:r>
        <w:t>ives funding from other donors)</w:t>
      </w:r>
    </w:p>
    <w:p w14:paraId="12C2F486" w14:textId="07AA644C" w:rsidR="0028414F" w:rsidRPr="00062196" w:rsidRDefault="00D44C6E" w:rsidP="009F01EE">
      <w:pPr>
        <w:pStyle w:val="ListParagraph"/>
        <w:numPr>
          <w:ilvl w:val="0"/>
          <w:numId w:val="36"/>
        </w:numPr>
        <w:spacing w:before="0"/>
        <w:ind w:left="284" w:hanging="284"/>
        <w:contextualSpacing w:val="0"/>
      </w:pPr>
      <w:r w:rsidRPr="00967B35">
        <w:t>Accuracy of</w:t>
      </w:r>
      <w:r w:rsidR="0028414F" w:rsidRPr="00967B35">
        <w:t xml:space="preserve"> information regarding the physical and financial implementation of the project</w:t>
      </w:r>
      <w:r w:rsidR="008F0B35" w:rsidRPr="00967B35">
        <w:t xml:space="preserve"> </w:t>
      </w:r>
      <w:r w:rsidR="00244B3A" w:rsidRPr="00967B35">
        <w:t>submitted</w:t>
      </w:r>
      <w:r w:rsidR="008F0B35" w:rsidRPr="00967B35">
        <w:t xml:space="preserve"> by the PP</w:t>
      </w:r>
    </w:p>
    <w:p w14:paraId="5B6FEBA0" w14:textId="2C4C16FF" w:rsidR="009B4899" w:rsidRDefault="00AC7BCF" w:rsidP="009B4899">
      <w:pPr>
        <w:autoSpaceDE w:val="0"/>
        <w:autoSpaceDN w:val="0"/>
        <w:adjustRightInd w:val="0"/>
      </w:pPr>
      <w:r>
        <w:rPr>
          <w:rFonts w:cs="Times New Roman"/>
          <w:noProof/>
          <w:color w:val="000000"/>
          <w:lang w:eastAsia="en-GB"/>
        </w:rPr>
        <mc:AlternateContent>
          <mc:Choice Requires="wps">
            <w:drawing>
              <wp:anchor distT="0" distB="0" distL="114300" distR="114300" simplePos="0" relativeHeight="251777024" behindDoc="0" locked="1" layoutInCell="1" allowOverlap="1" wp14:anchorId="41538A71" wp14:editId="1BDA6056">
                <wp:simplePos x="0" y="0"/>
                <wp:positionH relativeFrom="column">
                  <wp:posOffset>4241165</wp:posOffset>
                </wp:positionH>
                <wp:positionV relativeFrom="page">
                  <wp:posOffset>4554855</wp:posOffset>
                </wp:positionV>
                <wp:extent cx="255600" cy="417600"/>
                <wp:effectExtent l="0" t="23813" r="25718" b="44767"/>
                <wp:wrapNone/>
                <wp:docPr id="5" name="Chevron 5"/>
                <wp:cNvGraphicFramePr/>
                <a:graphic xmlns:a="http://schemas.openxmlformats.org/drawingml/2006/main">
                  <a:graphicData uri="http://schemas.microsoft.com/office/word/2010/wordprocessingShape">
                    <wps:wsp>
                      <wps:cNvSpPr/>
                      <wps:spPr>
                        <a:xfrm rot="5400000">
                          <a:off x="0" y="0"/>
                          <a:ext cx="255600" cy="417600"/>
                        </a:xfrm>
                        <a:prstGeom prst="chevron">
                          <a:avLst/>
                        </a:prstGeom>
                        <a:solidFill>
                          <a:schemeClr val="accent2">
                            <a:lumMod val="75000"/>
                          </a:schemeClr>
                        </a:solidFill>
                        <a:ln w="9525">
                          <a:solidFill>
                            <a:schemeClr val="accent2">
                              <a:lumMod val="75000"/>
                            </a:schemeClr>
                          </a:solidFill>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CA8F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 o:spid="_x0000_s1026" type="#_x0000_t55" style="position:absolute;margin-left:333.95pt;margin-top:358.65pt;width:20.15pt;height:32.9pt;rotation:9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" adj="10800" fillcolor="#c45911 [2405]" strokecolor="#c45911 [2405]">
                <w10:wrap anchory="page"/>
                <w10:anchorlock/>
              </v:shape>
            </w:pict>
          </mc:Fallback>
        </mc:AlternateContent>
      </w:r>
      <w:r w:rsidR="00DE5468" w:rsidRPr="001A72E9">
        <w:rPr>
          <w:noProof/>
          <w:lang w:eastAsia="en-GB"/>
        </w:rPr>
        <mc:AlternateContent>
          <mc:Choice Requires="wps">
            <w:drawing>
              <wp:anchor distT="0" distB="0" distL="114300" distR="114300" simplePos="0" relativeHeight="251773952" behindDoc="1" locked="0" layoutInCell="1" allowOverlap="1" wp14:anchorId="54AC84C3" wp14:editId="59DC5E5F">
                <wp:simplePos x="0" y="0"/>
                <wp:positionH relativeFrom="margin">
                  <wp:posOffset>2981325</wp:posOffset>
                </wp:positionH>
                <wp:positionV relativeFrom="paragraph">
                  <wp:posOffset>0</wp:posOffset>
                </wp:positionV>
                <wp:extent cx="2847975" cy="4876800"/>
                <wp:effectExtent l="0" t="0" r="9525" b="0"/>
                <wp:wrapThrough wrapText="bothSides">
                  <wp:wrapPolygon edited="0">
                    <wp:start x="0" y="0"/>
                    <wp:lineTo x="0" y="21516"/>
                    <wp:lineTo x="21528" y="21516"/>
                    <wp:lineTo x="21528" y="0"/>
                    <wp:lineTo x="0" y="0"/>
                  </wp:wrapPolygon>
                </wp:wrapThrough>
                <wp:docPr id="24" name="Flowchart: Process 24"/>
                <wp:cNvGraphicFramePr/>
                <a:graphic xmlns:a="http://schemas.openxmlformats.org/drawingml/2006/main">
                  <a:graphicData uri="http://schemas.microsoft.com/office/word/2010/wordprocessingShape">
                    <wps:wsp>
                      <wps:cNvSpPr/>
                      <wps:spPr>
                        <a:xfrm>
                          <a:off x="0" y="0"/>
                          <a:ext cx="2847975" cy="4876800"/>
                        </a:xfrm>
                        <a:prstGeom prst="flowChartProcess">
                          <a:avLst/>
                        </a:prstGeom>
                        <a:solidFill>
                          <a:schemeClr val="accent1">
                            <a:lumMod val="20000"/>
                            <a:lumOff val="80000"/>
                          </a:schemeClr>
                        </a:solidFill>
                        <a:ln w="9525" cap="flat" cmpd="sng" algn="ctr">
                          <a:noFill/>
                          <a:prstDash val="solid"/>
                          <a:miter lim="800000"/>
                        </a:ln>
                        <a:effectLst/>
                      </wps:spPr>
                      <wps:txbx>
                        <w:txbxContent>
                          <w:p w14:paraId="670EF2F1" w14:textId="77777777" w:rsidR="00A87AB3" w:rsidRDefault="00A87AB3" w:rsidP="00DE5468">
                            <w:pPr>
                              <w:spacing w:after="240"/>
                              <w:jc w:val="left"/>
                              <w:rPr>
                                <w:color w:val="C45911" w:themeColor="accent2" w:themeShade="BF"/>
                                <w:sz w:val="18"/>
                                <w:szCs w:val="18"/>
                              </w:rPr>
                            </w:pPr>
                            <w:r w:rsidRPr="002F5043">
                              <w:rPr>
                                <w:b/>
                                <w:bCs/>
                                <w:color w:val="C45911" w:themeColor="accent2" w:themeShade="BF"/>
                                <w:sz w:val="18"/>
                                <w:szCs w:val="18"/>
                              </w:rPr>
                              <w:t>Good practice:</w:t>
                            </w:r>
                            <w:r w:rsidRPr="002F5043">
                              <w:rPr>
                                <w:color w:val="C45911" w:themeColor="accent2" w:themeShade="BF"/>
                                <w:sz w:val="18"/>
                                <w:szCs w:val="18"/>
                              </w:rPr>
                              <w:t xml:space="preserve"> </w:t>
                            </w:r>
                          </w:p>
                          <w:p w14:paraId="438AEEF4" w14:textId="77777777" w:rsidR="00A87AB3" w:rsidRPr="002F5043" w:rsidRDefault="00A87AB3" w:rsidP="00DE5468">
                            <w:pPr>
                              <w:spacing w:after="240"/>
                              <w:jc w:val="left"/>
                              <w:rPr>
                                <w:i/>
                                <w:color w:val="C45911" w:themeColor="accent2" w:themeShade="BF"/>
                                <w:sz w:val="18"/>
                                <w:szCs w:val="18"/>
                              </w:rPr>
                            </w:pPr>
                            <w:r>
                              <w:rPr>
                                <w:i/>
                                <w:color w:val="C45911" w:themeColor="accent2" w:themeShade="BF"/>
                                <w:sz w:val="18"/>
                                <w:szCs w:val="18"/>
                              </w:rPr>
                              <w:t xml:space="preserve">Sampling – projects </w:t>
                            </w:r>
                          </w:p>
                          <w:p w14:paraId="43FDD398" w14:textId="77777777" w:rsidR="00A87AB3" w:rsidRPr="002F5043" w:rsidRDefault="00A87AB3" w:rsidP="00DE5468">
                            <w:pPr>
                              <w:spacing w:after="0"/>
                              <w:rPr>
                                <w:bCs/>
                                <w:sz w:val="18"/>
                                <w:szCs w:val="18"/>
                              </w:rPr>
                            </w:pPr>
                            <w:r w:rsidRPr="002F5043">
                              <w:rPr>
                                <w:bCs/>
                                <w:sz w:val="18"/>
                                <w:szCs w:val="18"/>
                              </w:rPr>
                              <w:t>The following risk factors can be taken into account when selecting a sample of projects for on-the-spot verifications:</w:t>
                            </w:r>
                          </w:p>
                          <w:p w14:paraId="7BAB3699" w14:textId="77777777" w:rsidR="00A87AB3" w:rsidRPr="002F5043" w:rsidRDefault="00A87AB3" w:rsidP="009F01EE">
                            <w:pPr>
                              <w:pStyle w:val="ListParagraph"/>
                              <w:numPr>
                                <w:ilvl w:val="0"/>
                                <w:numId w:val="37"/>
                              </w:numPr>
                              <w:ind w:left="284" w:hanging="284"/>
                              <w:contextualSpacing w:val="0"/>
                              <w:rPr>
                                <w:rFonts w:cs="Times New Roman"/>
                                <w:color w:val="000000"/>
                                <w:sz w:val="18"/>
                                <w:szCs w:val="18"/>
                              </w:rPr>
                            </w:pPr>
                            <w:r w:rsidRPr="002F5043">
                              <w:rPr>
                                <w:rFonts w:cs="Times New Roman"/>
                                <w:color w:val="000000"/>
                                <w:sz w:val="18"/>
                                <w:szCs w:val="18"/>
                              </w:rPr>
                              <w:t>Complexity</w:t>
                            </w:r>
                            <w:r>
                              <w:rPr>
                                <w:rFonts w:cs="Times New Roman"/>
                                <w:color w:val="000000"/>
                                <w:sz w:val="18"/>
                                <w:szCs w:val="18"/>
                              </w:rPr>
                              <w:t xml:space="preserve"> </w:t>
                            </w:r>
                            <w:r w:rsidRPr="002F5043">
                              <w:rPr>
                                <w:rFonts w:cs="Times New Roman"/>
                                <w:color w:val="000000"/>
                                <w:sz w:val="18"/>
                                <w:szCs w:val="18"/>
                              </w:rPr>
                              <w:t>of the project</w:t>
                            </w:r>
                          </w:p>
                          <w:p w14:paraId="725A7740" w14:textId="77777777" w:rsidR="00A87AB3" w:rsidRPr="002F5043" w:rsidRDefault="00A87AB3" w:rsidP="009F01EE">
                            <w:pPr>
                              <w:pStyle w:val="ListParagraph"/>
                              <w:numPr>
                                <w:ilvl w:val="0"/>
                                <w:numId w:val="37"/>
                              </w:numPr>
                              <w:ind w:left="284" w:hanging="284"/>
                              <w:contextualSpacing w:val="0"/>
                              <w:rPr>
                                <w:rFonts w:cs="Times New Roman"/>
                                <w:color w:val="000000"/>
                                <w:sz w:val="18"/>
                                <w:szCs w:val="18"/>
                              </w:rPr>
                            </w:pPr>
                            <w:r w:rsidRPr="002F5043">
                              <w:rPr>
                                <w:rFonts w:cs="Times New Roman"/>
                                <w:color w:val="000000"/>
                                <w:sz w:val="18"/>
                                <w:szCs w:val="18"/>
                              </w:rPr>
                              <w:t>The amount of public support</w:t>
                            </w:r>
                          </w:p>
                          <w:p w14:paraId="139DD334" w14:textId="77777777" w:rsidR="00A87AB3" w:rsidRPr="002F5043" w:rsidRDefault="00A87AB3" w:rsidP="009F01EE">
                            <w:pPr>
                              <w:pStyle w:val="ListParagraph"/>
                              <w:numPr>
                                <w:ilvl w:val="0"/>
                                <w:numId w:val="37"/>
                              </w:numPr>
                              <w:ind w:left="284" w:hanging="284"/>
                              <w:contextualSpacing w:val="0"/>
                              <w:rPr>
                                <w:rFonts w:cs="Times New Roman"/>
                                <w:color w:val="000000"/>
                                <w:sz w:val="18"/>
                                <w:szCs w:val="18"/>
                              </w:rPr>
                            </w:pPr>
                            <w:r w:rsidRPr="002F5043">
                              <w:rPr>
                                <w:rFonts w:cs="Times New Roman"/>
                                <w:color w:val="000000"/>
                                <w:sz w:val="18"/>
                                <w:szCs w:val="18"/>
                              </w:rPr>
                              <w:t xml:space="preserve">The extent of detailed checks during the administrative verifications </w:t>
                            </w:r>
                          </w:p>
                          <w:p w14:paraId="28BC3C99" w14:textId="77777777" w:rsidR="00A87AB3" w:rsidRPr="002F5043" w:rsidRDefault="00A87AB3" w:rsidP="009F01EE">
                            <w:pPr>
                              <w:pStyle w:val="ListParagraph"/>
                              <w:numPr>
                                <w:ilvl w:val="0"/>
                                <w:numId w:val="37"/>
                              </w:numPr>
                              <w:ind w:left="284" w:hanging="284"/>
                              <w:contextualSpacing w:val="0"/>
                              <w:rPr>
                                <w:rFonts w:cs="Times New Roman"/>
                                <w:color w:val="000000"/>
                                <w:sz w:val="18"/>
                                <w:szCs w:val="18"/>
                              </w:rPr>
                            </w:pPr>
                            <w:r w:rsidRPr="002F5043">
                              <w:rPr>
                                <w:rFonts w:cs="Times New Roman"/>
                                <w:color w:val="000000"/>
                                <w:sz w:val="18"/>
                                <w:szCs w:val="18"/>
                              </w:rPr>
                              <w:t>The level of risk identified during administrative verifications (i.e. problems, irregularities, particular transactions that appear unusual and require further examination)</w:t>
                            </w:r>
                          </w:p>
                          <w:p w14:paraId="586D70BA" w14:textId="3582ACDF" w:rsidR="00A87AB3" w:rsidRPr="002F5043" w:rsidRDefault="00A87AB3" w:rsidP="009F01EE">
                            <w:pPr>
                              <w:pStyle w:val="ListParagraph"/>
                              <w:numPr>
                                <w:ilvl w:val="0"/>
                                <w:numId w:val="37"/>
                              </w:numPr>
                              <w:ind w:left="284" w:hanging="284"/>
                              <w:contextualSpacing w:val="0"/>
                              <w:rPr>
                                <w:rFonts w:cs="Times New Roman"/>
                                <w:color w:val="000000"/>
                                <w:sz w:val="18"/>
                                <w:szCs w:val="18"/>
                              </w:rPr>
                            </w:pPr>
                            <w:r>
                              <w:rPr>
                                <w:rFonts w:cs="Times New Roman"/>
                                <w:color w:val="000000"/>
                                <w:sz w:val="18"/>
                                <w:szCs w:val="18"/>
                              </w:rPr>
                              <w:t>AA Audits</w:t>
                            </w:r>
                          </w:p>
                          <w:p w14:paraId="798A83C8" w14:textId="77777777" w:rsidR="00A87AB3" w:rsidRPr="002F5043" w:rsidRDefault="00A87AB3" w:rsidP="009F01EE">
                            <w:pPr>
                              <w:pStyle w:val="ListParagraph"/>
                              <w:numPr>
                                <w:ilvl w:val="0"/>
                                <w:numId w:val="37"/>
                              </w:numPr>
                              <w:ind w:left="284" w:hanging="284"/>
                              <w:contextualSpacing w:val="0"/>
                              <w:rPr>
                                <w:rFonts w:cs="Times New Roman"/>
                                <w:color w:val="000000"/>
                                <w:sz w:val="18"/>
                                <w:szCs w:val="18"/>
                              </w:rPr>
                            </w:pPr>
                            <w:r w:rsidRPr="002F5043">
                              <w:rPr>
                                <w:rFonts w:cs="Times New Roman"/>
                                <w:color w:val="000000"/>
                                <w:sz w:val="18"/>
                                <w:szCs w:val="18"/>
                              </w:rPr>
                              <w:t xml:space="preserve">Control procedures in place at the </w:t>
                            </w:r>
                            <w:r>
                              <w:rPr>
                                <w:rFonts w:cs="Times New Roman"/>
                                <w:color w:val="000000"/>
                                <w:sz w:val="18"/>
                                <w:szCs w:val="18"/>
                              </w:rPr>
                              <w:t>PP level</w:t>
                            </w:r>
                          </w:p>
                          <w:p w14:paraId="51EE854B" w14:textId="77777777" w:rsidR="00A87AB3" w:rsidRDefault="00A87AB3" w:rsidP="00DE5468">
                            <w:pPr>
                              <w:rPr>
                                <w:rFonts w:cs="Times New Roman"/>
                                <w:color w:val="000000"/>
                                <w:sz w:val="18"/>
                                <w:szCs w:val="18"/>
                              </w:rPr>
                            </w:pPr>
                            <w:r w:rsidRPr="002F5043">
                              <w:rPr>
                                <w:rFonts w:cs="Times New Roman"/>
                                <w:color w:val="000000"/>
                                <w:sz w:val="18"/>
                                <w:szCs w:val="18"/>
                              </w:rPr>
                              <w:t>A random sample of projects should be selected as a complement.</w:t>
                            </w:r>
                          </w:p>
                          <w:p w14:paraId="467C6EFA" w14:textId="6BD56088" w:rsidR="00A87AB3" w:rsidRPr="002F5043" w:rsidRDefault="00A87AB3" w:rsidP="00DE5468">
                            <w:pPr>
                              <w:jc w:val="center"/>
                              <w:rPr>
                                <w:rFonts w:cs="Times New Roman"/>
                                <w:color w:val="000000"/>
                                <w:sz w:val="18"/>
                                <w:szCs w:val="18"/>
                              </w:rPr>
                            </w:pPr>
                          </w:p>
                          <w:p w14:paraId="3E129217" w14:textId="77777777" w:rsidR="00A87AB3" w:rsidRPr="002F5043" w:rsidRDefault="00A87AB3" w:rsidP="00DE5468">
                            <w:pPr>
                              <w:autoSpaceDE w:val="0"/>
                              <w:autoSpaceDN w:val="0"/>
                              <w:adjustRightInd w:val="0"/>
                              <w:rPr>
                                <w:rFonts w:cs="Times New Roman"/>
                                <w:color w:val="000000"/>
                                <w:sz w:val="18"/>
                                <w:szCs w:val="18"/>
                              </w:rPr>
                            </w:pPr>
                            <w:r w:rsidRPr="002F5043">
                              <w:rPr>
                                <w:rFonts w:cs="Times New Roman"/>
                                <w:color w:val="000000"/>
                                <w:sz w:val="18"/>
                                <w:szCs w:val="18"/>
                              </w:rPr>
                              <w:t>Where problems are identified in the on-the-spot verifications from the random sample, the size of the sample should be increased in order to determine whether similar problems exist in the unchecked projects.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C84C3" id="Flowchart: Process 24" o:spid="_x0000_s1046" type="#_x0000_t109" style="position:absolute;left:0;text-align:left;margin-left:234.75pt;margin-top:0;width:224.25pt;height:384pt;z-index:-25154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" fillcolor="#deeaf6 [660]" stroked="f">
                <v:textbox>
                  <w:txbxContent>
                    <w:p w14:paraId="670EF2F1" w14:textId="77777777" w:rsidR="00A87AB3" w:rsidRDefault="00A87AB3" w:rsidP="00DE5468">
                      <w:pPr>
                        <w:spacing w:after="240"/>
                        <w:jc w:val="left"/>
                        <w:rPr>
                          <w:color w:val="C45911" w:themeColor="accent2" w:themeShade="BF"/>
                          <w:sz w:val="18"/>
                          <w:szCs w:val="18"/>
                        </w:rPr>
                      </w:pPr>
                      <w:r w:rsidRPr="002F5043">
                        <w:rPr>
                          <w:b/>
                          <w:bCs/>
                          <w:color w:val="C45911" w:themeColor="accent2" w:themeShade="BF"/>
                          <w:sz w:val="18"/>
                          <w:szCs w:val="18"/>
                        </w:rPr>
                        <w:t>Good practice:</w:t>
                      </w:r>
                      <w:r w:rsidRPr="002F5043">
                        <w:rPr>
                          <w:color w:val="C45911" w:themeColor="accent2" w:themeShade="BF"/>
                          <w:sz w:val="18"/>
                          <w:szCs w:val="18"/>
                        </w:rPr>
                        <w:t xml:space="preserve"> </w:t>
                      </w:r>
                    </w:p>
                    <w:p w14:paraId="438AEEF4" w14:textId="77777777" w:rsidR="00A87AB3" w:rsidRPr="002F5043" w:rsidRDefault="00A87AB3" w:rsidP="00DE5468">
                      <w:pPr>
                        <w:spacing w:after="240"/>
                        <w:jc w:val="left"/>
                        <w:rPr>
                          <w:i/>
                          <w:color w:val="C45911" w:themeColor="accent2" w:themeShade="BF"/>
                          <w:sz w:val="18"/>
                          <w:szCs w:val="18"/>
                        </w:rPr>
                      </w:pPr>
                      <w:r>
                        <w:rPr>
                          <w:i/>
                          <w:color w:val="C45911" w:themeColor="accent2" w:themeShade="BF"/>
                          <w:sz w:val="18"/>
                          <w:szCs w:val="18"/>
                        </w:rPr>
                        <w:t xml:space="preserve">Sampling – projects </w:t>
                      </w:r>
                    </w:p>
                    <w:p w14:paraId="43FDD398" w14:textId="77777777" w:rsidR="00A87AB3" w:rsidRPr="002F5043" w:rsidRDefault="00A87AB3" w:rsidP="00DE5468">
                      <w:pPr>
                        <w:spacing w:after="0"/>
                        <w:rPr>
                          <w:bCs/>
                          <w:sz w:val="18"/>
                          <w:szCs w:val="18"/>
                        </w:rPr>
                      </w:pPr>
                      <w:r w:rsidRPr="002F5043">
                        <w:rPr>
                          <w:bCs/>
                          <w:sz w:val="18"/>
                          <w:szCs w:val="18"/>
                        </w:rPr>
                        <w:t>The following risk factors can be taken into account when selecting a sample of projects for on-the-spot verifications:</w:t>
                      </w:r>
                    </w:p>
                    <w:p w14:paraId="7BAB3699" w14:textId="77777777" w:rsidR="00A87AB3" w:rsidRPr="002F5043" w:rsidRDefault="00A87AB3" w:rsidP="009F01EE">
                      <w:pPr>
                        <w:pStyle w:val="ListParagraph"/>
                        <w:numPr>
                          <w:ilvl w:val="0"/>
                          <w:numId w:val="37"/>
                        </w:numPr>
                        <w:ind w:left="284" w:hanging="284"/>
                        <w:contextualSpacing w:val="0"/>
                        <w:rPr>
                          <w:rFonts w:cs="Times New Roman"/>
                          <w:color w:val="000000"/>
                          <w:sz w:val="18"/>
                          <w:szCs w:val="18"/>
                        </w:rPr>
                      </w:pPr>
                      <w:r w:rsidRPr="002F5043">
                        <w:rPr>
                          <w:rFonts w:cs="Times New Roman"/>
                          <w:color w:val="000000"/>
                          <w:sz w:val="18"/>
                          <w:szCs w:val="18"/>
                        </w:rPr>
                        <w:t>Complexity</w:t>
                      </w:r>
                      <w:r>
                        <w:rPr>
                          <w:rFonts w:cs="Times New Roman"/>
                          <w:color w:val="000000"/>
                          <w:sz w:val="18"/>
                          <w:szCs w:val="18"/>
                        </w:rPr>
                        <w:t xml:space="preserve"> </w:t>
                      </w:r>
                      <w:r w:rsidRPr="002F5043">
                        <w:rPr>
                          <w:rFonts w:cs="Times New Roman"/>
                          <w:color w:val="000000"/>
                          <w:sz w:val="18"/>
                          <w:szCs w:val="18"/>
                        </w:rPr>
                        <w:t>of the project</w:t>
                      </w:r>
                    </w:p>
                    <w:p w14:paraId="725A7740" w14:textId="77777777" w:rsidR="00A87AB3" w:rsidRPr="002F5043" w:rsidRDefault="00A87AB3" w:rsidP="009F01EE">
                      <w:pPr>
                        <w:pStyle w:val="ListParagraph"/>
                        <w:numPr>
                          <w:ilvl w:val="0"/>
                          <w:numId w:val="37"/>
                        </w:numPr>
                        <w:ind w:left="284" w:hanging="284"/>
                        <w:contextualSpacing w:val="0"/>
                        <w:rPr>
                          <w:rFonts w:cs="Times New Roman"/>
                          <w:color w:val="000000"/>
                          <w:sz w:val="18"/>
                          <w:szCs w:val="18"/>
                        </w:rPr>
                      </w:pPr>
                      <w:r w:rsidRPr="002F5043">
                        <w:rPr>
                          <w:rFonts w:cs="Times New Roman"/>
                          <w:color w:val="000000"/>
                          <w:sz w:val="18"/>
                          <w:szCs w:val="18"/>
                        </w:rPr>
                        <w:t>The amount of public support</w:t>
                      </w:r>
                    </w:p>
                    <w:p w14:paraId="139DD334" w14:textId="77777777" w:rsidR="00A87AB3" w:rsidRPr="002F5043" w:rsidRDefault="00A87AB3" w:rsidP="009F01EE">
                      <w:pPr>
                        <w:pStyle w:val="ListParagraph"/>
                        <w:numPr>
                          <w:ilvl w:val="0"/>
                          <w:numId w:val="37"/>
                        </w:numPr>
                        <w:ind w:left="284" w:hanging="284"/>
                        <w:contextualSpacing w:val="0"/>
                        <w:rPr>
                          <w:rFonts w:cs="Times New Roman"/>
                          <w:color w:val="000000"/>
                          <w:sz w:val="18"/>
                          <w:szCs w:val="18"/>
                        </w:rPr>
                      </w:pPr>
                      <w:r w:rsidRPr="002F5043">
                        <w:rPr>
                          <w:rFonts w:cs="Times New Roman"/>
                          <w:color w:val="000000"/>
                          <w:sz w:val="18"/>
                          <w:szCs w:val="18"/>
                        </w:rPr>
                        <w:t xml:space="preserve">The extent of detailed checks during the administrative verifications </w:t>
                      </w:r>
                    </w:p>
                    <w:p w14:paraId="28BC3C99" w14:textId="77777777" w:rsidR="00A87AB3" w:rsidRPr="002F5043" w:rsidRDefault="00A87AB3" w:rsidP="009F01EE">
                      <w:pPr>
                        <w:pStyle w:val="ListParagraph"/>
                        <w:numPr>
                          <w:ilvl w:val="0"/>
                          <w:numId w:val="37"/>
                        </w:numPr>
                        <w:ind w:left="284" w:hanging="284"/>
                        <w:contextualSpacing w:val="0"/>
                        <w:rPr>
                          <w:rFonts w:cs="Times New Roman"/>
                          <w:color w:val="000000"/>
                          <w:sz w:val="18"/>
                          <w:szCs w:val="18"/>
                        </w:rPr>
                      </w:pPr>
                      <w:r w:rsidRPr="002F5043">
                        <w:rPr>
                          <w:rFonts w:cs="Times New Roman"/>
                          <w:color w:val="000000"/>
                          <w:sz w:val="18"/>
                          <w:szCs w:val="18"/>
                        </w:rPr>
                        <w:t>The level of risk identified during administrative verifications (i.e. problems, irregularities, particular transactions that appear unusual and require further examination)</w:t>
                      </w:r>
                    </w:p>
                    <w:p w14:paraId="586D70BA" w14:textId="3582ACDF" w:rsidR="00A87AB3" w:rsidRPr="002F5043" w:rsidRDefault="00A87AB3" w:rsidP="009F01EE">
                      <w:pPr>
                        <w:pStyle w:val="ListParagraph"/>
                        <w:numPr>
                          <w:ilvl w:val="0"/>
                          <w:numId w:val="37"/>
                        </w:numPr>
                        <w:ind w:left="284" w:hanging="284"/>
                        <w:contextualSpacing w:val="0"/>
                        <w:rPr>
                          <w:rFonts w:cs="Times New Roman"/>
                          <w:color w:val="000000"/>
                          <w:sz w:val="18"/>
                          <w:szCs w:val="18"/>
                        </w:rPr>
                      </w:pPr>
                      <w:r>
                        <w:rPr>
                          <w:rFonts w:cs="Times New Roman"/>
                          <w:color w:val="000000"/>
                          <w:sz w:val="18"/>
                          <w:szCs w:val="18"/>
                        </w:rPr>
                        <w:t>AA Audits</w:t>
                      </w:r>
                    </w:p>
                    <w:p w14:paraId="798A83C8" w14:textId="77777777" w:rsidR="00A87AB3" w:rsidRPr="002F5043" w:rsidRDefault="00A87AB3" w:rsidP="009F01EE">
                      <w:pPr>
                        <w:pStyle w:val="ListParagraph"/>
                        <w:numPr>
                          <w:ilvl w:val="0"/>
                          <w:numId w:val="37"/>
                        </w:numPr>
                        <w:ind w:left="284" w:hanging="284"/>
                        <w:contextualSpacing w:val="0"/>
                        <w:rPr>
                          <w:rFonts w:cs="Times New Roman"/>
                          <w:color w:val="000000"/>
                          <w:sz w:val="18"/>
                          <w:szCs w:val="18"/>
                        </w:rPr>
                      </w:pPr>
                      <w:r w:rsidRPr="002F5043">
                        <w:rPr>
                          <w:rFonts w:cs="Times New Roman"/>
                          <w:color w:val="000000"/>
                          <w:sz w:val="18"/>
                          <w:szCs w:val="18"/>
                        </w:rPr>
                        <w:t xml:space="preserve">Control procedures in place at the </w:t>
                      </w:r>
                      <w:r>
                        <w:rPr>
                          <w:rFonts w:cs="Times New Roman"/>
                          <w:color w:val="000000"/>
                          <w:sz w:val="18"/>
                          <w:szCs w:val="18"/>
                        </w:rPr>
                        <w:t>PP level</w:t>
                      </w:r>
                    </w:p>
                    <w:p w14:paraId="51EE854B" w14:textId="77777777" w:rsidR="00A87AB3" w:rsidRDefault="00A87AB3" w:rsidP="00DE5468">
                      <w:pPr>
                        <w:rPr>
                          <w:rFonts w:cs="Times New Roman"/>
                          <w:color w:val="000000"/>
                          <w:sz w:val="18"/>
                          <w:szCs w:val="18"/>
                        </w:rPr>
                      </w:pPr>
                      <w:r w:rsidRPr="002F5043">
                        <w:rPr>
                          <w:rFonts w:cs="Times New Roman"/>
                          <w:color w:val="000000"/>
                          <w:sz w:val="18"/>
                          <w:szCs w:val="18"/>
                        </w:rPr>
                        <w:t>A random sample of projects should be selected as a complement.</w:t>
                      </w:r>
                    </w:p>
                    <w:p w14:paraId="467C6EFA" w14:textId="6BD56088" w:rsidR="00A87AB3" w:rsidRPr="002F5043" w:rsidRDefault="00A87AB3" w:rsidP="00DE5468">
                      <w:pPr>
                        <w:jc w:val="center"/>
                        <w:rPr>
                          <w:rFonts w:cs="Times New Roman"/>
                          <w:color w:val="000000"/>
                          <w:sz w:val="18"/>
                          <w:szCs w:val="18"/>
                        </w:rPr>
                      </w:pPr>
                    </w:p>
                    <w:p w14:paraId="3E129217" w14:textId="77777777" w:rsidR="00A87AB3" w:rsidRPr="002F5043" w:rsidRDefault="00A87AB3" w:rsidP="00DE5468">
                      <w:pPr>
                        <w:autoSpaceDE w:val="0"/>
                        <w:autoSpaceDN w:val="0"/>
                        <w:adjustRightInd w:val="0"/>
                        <w:rPr>
                          <w:rFonts w:cs="Times New Roman"/>
                          <w:color w:val="000000"/>
                          <w:sz w:val="18"/>
                          <w:szCs w:val="18"/>
                        </w:rPr>
                      </w:pPr>
                      <w:r w:rsidRPr="002F5043">
                        <w:rPr>
                          <w:rFonts w:cs="Times New Roman"/>
                          <w:color w:val="000000"/>
                          <w:sz w:val="18"/>
                          <w:szCs w:val="18"/>
                        </w:rPr>
                        <w:t>Where problems are identified in the on-the-spot verifications from the random sample, the size of the sample should be increased in order to determine whether similar problems exist in the unchecked projects.</w:t>
                      </w:r>
                    </w:p>
                  </w:txbxContent>
                </v:textbox>
                <w10:wrap type="through" anchorx="margin"/>
              </v:shape>
            </w:pict>
          </mc:Fallback>
        </mc:AlternateContent>
      </w:r>
      <w:r w:rsidR="00715170" w:rsidRPr="009B7F14">
        <w:rPr>
          <w:rFonts w:cs="Times New Roman"/>
          <w:noProof/>
          <w:color w:val="000000"/>
          <w:lang w:eastAsia="en-GB"/>
        </w:rPr>
        <mc:AlternateContent>
          <mc:Choice Requires="wps">
            <w:drawing>
              <wp:anchor distT="45720" distB="45720" distL="114300" distR="114300" simplePos="0" relativeHeight="251765760" behindDoc="0" locked="0" layoutInCell="1" allowOverlap="1" wp14:anchorId="31CD6279" wp14:editId="43D90B2F">
                <wp:simplePos x="0" y="0"/>
                <wp:positionH relativeFrom="column">
                  <wp:posOffset>0</wp:posOffset>
                </wp:positionH>
                <wp:positionV relativeFrom="paragraph">
                  <wp:posOffset>2700655</wp:posOffset>
                </wp:positionV>
                <wp:extent cx="2886075" cy="2095500"/>
                <wp:effectExtent l="0" t="0" r="28575"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095500"/>
                        </a:xfrm>
                        <a:prstGeom prst="rect">
                          <a:avLst/>
                        </a:prstGeom>
                        <a:solidFill>
                          <a:schemeClr val="bg1"/>
                        </a:solidFill>
                        <a:ln w="9525">
                          <a:solidFill>
                            <a:schemeClr val="tx1"/>
                          </a:solidFill>
                          <a:miter lim="800000"/>
                          <a:headEnd/>
                          <a:tailEnd/>
                        </a:ln>
                      </wps:spPr>
                      <wps:txbx>
                        <w:txbxContent>
                          <w:p w14:paraId="6F847867" w14:textId="77777777" w:rsidR="00A87AB3" w:rsidRPr="00ED13FE" w:rsidRDefault="00A87AB3" w:rsidP="00715170">
                            <w:pPr>
                              <w:autoSpaceDE w:val="0"/>
                              <w:autoSpaceDN w:val="0"/>
                              <w:adjustRightInd w:val="0"/>
                              <w:rPr>
                                <w:rFonts w:cs="Times New Roman"/>
                                <w:b/>
                                <w:sz w:val="18"/>
                              </w:rPr>
                            </w:pPr>
                            <w:r w:rsidRPr="00ED13FE">
                              <w:rPr>
                                <w:rFonts w:cs="Times New Roman"/>
                                <w:b/>
                                <w:sz w:val="18"/>
                              </w:rPr>
                              <w:t>Example:</w:t>
                            </w:r>
                          </w:p>
                          <w:p w14:paraId="480BEE5F" w14:textId="77777777" w:rsidR="00A87AB3" w:rsidRDefault="00A87AB3" w:rsidP="00715170">
                            <w:pPr>
                              <w:autoSpaceDE w:val="0"/>
                              <w:autoSpaceDN w:val="0"/>
                              <w:adjustRightInd w:val="0"/>
                              <w:rPr>
                                <w:rFonts w:cs="Times New Roman"/>
                                <w:sz w:val="18"/>
                              </w:rPr>
                            </w:pPr>
                            <w:r w:rsidRPr="00ED13FE">
                              <w:rPr>
                                <w:rFonts w:cs="Times New Roman"/>
                                <w:sz w:val="18"/>
                              </w:rPr>
                              <w:t xml:space="preserve">If the PP is a government ministry and checks on the expenditure have already been carried out by a separate part of the ministry as part of their own control procedures (i.e. with appropriate segregation of functions), the PO may treat them as contributing to the assurance to be obtained, whilst still being responsible for carrying out </w:t>
                            </w:r>
                            <w:r>
                              <w:rPr>
                                <w:rFonts w:cs="Times New Roman"/>
                                <w:sz w:val="18"/>
                              </w:rPr>
                              <w:t xml:space="preserve">the </w:t>
                            </w:r>
                            <w:r w:rsidRPr="00ED13FE">
                              <w:rPr>
                                <w:rFonts w:cs="Times New Roman"/>
                                <w:sz w:val="18"/>
                              </w:rPr>
                              <w:t>verifications. The checks carried out directly by the PP cannot be considered to be the equivalent of the verifications falling under Reg. Art. 5.6.2.</w:t>
                            </w:r>
                          </w:p>
                          <w:p w14:paraId="0CC47C2B" w14:textId="77777777" w:rsidR="00A87AB3" w:rsidRDefault="00A87AB3" w:rsidP="00715170">
                            <w:pPr>
                              <w:autoSpaceDE w:val="0"/>
                              <w:autoSpaceDN w:val="0"/>
                              <w:adjustRightInd w:val="0"/>
                              <w:rPr>
                                <w:rFonts w:cs="Times New Roman"/>
                                <w:sz w:val="18"/>
                              </w:rPr>
                            </w:pPr>
                          </w:p>
                          <w:p w14:paraId="68DC464D" w14:textId="77777777" w:rsidR="00A87AB3" w:rsidRPr="00ED13FE" w:rsidRDefault="00A87AB3" w:rsidP="00715170">
                            <w:pPr>
                              <w:autoSpaceDE w:val="0"/>
                              <w:autoSpaceDN w:val="0"/>
                              <w:adjustRightInd w:val="0"/>
                              <w:rPr>
                                <w:rFonts w:cs="Times New Roman"/>
                                <w:sz w:val="18"/>
                              </w:rPr>
                            </w:pPr>
                          </w:p>
                          <w:p w14:paraId="6581D927" w14:textId="77777777" w:rsidR="00A87AB3" w:rsidRPr="00ED13FE" w:rsidRDefault="00A87AB3" w:rsidP="00715170">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CD6279" id="_x0000_s1047" type="#_x0000_t202" style="position:absolute;left:0;text-align:left;margin-left:0;margin-top:212.65pt;width:227.25pt;height:16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" fillcolor="white [3212]" strokecolor="black [3213]">
                <v:textbox>
                  <w:txbxContent>
                    <w:p w14:paraId="6F847867" w14:textId="77777777" w:rsidR="00A87AB3" w:rsidRPr="00ED13FE" w:rsidRDefault="00A87AB3" w:rsidP="00715170">
                      <w:pPr>
                        <w:autoSpaceDE w:val="0"/>
                        <w:autoSpaceDN w:val="0"/>
                        <w:adjustRightInd w:val="0"/>
                        <w:rPr>
                          <w:rFonts w:cs="Times New Roman"/>
                          <w:b/>
                          <w:sz w:val="18"/>
                        </w:rPr>
                      </w:pPr>
                      <w:r w:rsidRPr="00ED13FE">
                        <w:rPr>
                          <w:rFonts w:cs="Times New Roman"/>
                          <w:b/>
                          <w:sz w:val="18"/>
                        </w:rPr>
                        <w:t>Example:</w:t>
                      </w:r>
                    </w:p>
                    <w:p w14:paraId="480BEE5F" w14:textId="77777777" w:rsidR="00A87AB3" w:rsidRDefault="00A87AB3" w:rsidP="00715170">
                      <w:pPr>
                        <w:autoSpaceDE w:val="0"/>
                        <w:autoSpaceDN w:val="0"/>
                        <w:adjustRightInd w:val="0"/>
                        <w:rPr>
                          <w:rFonts w:cs="Times New Roman"/>
                          <w:sz w:val="18"/>
                        </w:rPr>
                      </w:pPr>
                      <w:r w:rsidRPr="00ED13FE">
                        <w:rPr>
                          <w:rFonts w:cs="Times New Roman"/>
                          <w:sz w:val="18"/>
                        </w:rPr>
                        <w:t xml:space="preserve">If the PP is a government ministry and checks on the expenditure have already been carried out by a separate part of the ministry as part of their own control procedures (i.e. with appropriate segregation of functions), the PO may treat them as contributing to the assurance to be obtained, whilst still being responsible for carrying out </w:t>
                      </w:r>
                      <w:r>
                        <w:rPr>
                          <w:rFonts w:cs="Times New Roman"/>
                          <w:sz w:val="18"/>
                        </w:rPr>
                        <w:t xml:space="preserve">the </w:t>
                      </w:r>
                      <w:r w:rsidRPr="00ED13FE">
                        <w:rPr>
                          <w:rFonts w:cs="Times New Roman"/>
                          <w:sz w:val="18"/>
                        </w:rPr>
                        <w:t>verifications. The checks carried out directly by the PP cannot be considered to be the equivalent of the verifications falling under Reg. Art. 5.6.2.</w:t>
                      </w:r>
                    </w:p>
                    <w:p w14:paraId="0CC47C2B" w14:textId="77777777" w:rsidR="00A87AB3" w:rsidRDefault="00A87AB3" w:rsidP="00715170">
                      <w:pPr>
                        <w:autoSpaceDE w:val="0"/>
                        <w:autoSpaceDN w:val="0"/>
                        <w:adjustRightInd w:val="0"/>
                        <w:rPr>
                          <w:rFonts w:cs="Times New Roman"/>
                          <w:sz w:val="18"/>
                        </w:rPr>
                      </w:pPr>
                    </w:p>
                    <w:p w14:paraId="68DC464D" w14:textId="77777777" w:rsidR="00A87AB3" w:rsidRPr="00ED13FE" w:rsidRDefault="00A87AB3" w:rsidP="00715170">
                      <w:pPr>
                        <w:autoSpaceDE w:val="0"/>
                        <w:autoSpaceDN w:val="0"/>
                        <w:adjustRightInd w:val="0"/>
                        <w:rPr>
                          <w:rFonts w:cs="Times New Roman"/>
                          <w:sz w:val="18"/>
                        </w:rPr>
                      </w:pPr>
                    </w:p>
                    <w:p w14:paraId="6581D927" w14:textId="77777777" w:rsidR="00A87AB3" w:rsidRPr="00ED13FE" w:rsidRDefault="00A87AB3" w:rsidP="00715170">
                      <w:pPr>
                        <w:rPr>
                          <w:sz w:val="18"/>
                        </w:rPr>
                      </w:pPr>
                    </w:p>
                  </w:txbxContent>
                </v:textbox>
                <w10:wrap type="square"/>
              </v:shape>
            </w:pict>
          </mc:Fallback>
        </mc:AlternateContent>
      </w:r>
      <w:r w:rsidR="00244B3A" w:rsidRPr="001A72E9">
        <w:t>The intensity, f</w:t>
      </w:r>
      <w:r w:rsidR="009B4899" w:rsidRPr="001A72E9">
        <w:t>requency and coverage of on</w:t>
      </w:r>
      <w:r w:rsidR="009B4899" w:rsidRPr="00062196">
        <w:t xml:space="preserve">-the-spot verifications should be </w:t>
      </w:r>
      <w:r w:rsidR="001A72E9" w:rsidRPr="00062196">
        <w:t>proportionate to</w:t>
      </w:r>
      <w:r w:rsidR="009B4899" w:rsidRPr="00062196">
        <w:t xml:space="preserve"> the financial support and to risks identified. </w:t>
      </w:r>
      <w:r w:rsidR="009B4899" w:rsidRPr="00062196">
        <w:rPr>
          <w:rFonts w:cs="Times New Roman"/>
          <w:color w:val="000000"/>
        </w:rPr>
        <w:t xml:space="preserve">On-the-spot verifications may be carried out on a </w:t>
      </w:r>
      <w:r w:rsidR="009B4899" w:rsidRPr="00812E01">
        <w:rPr>
          <w:rFonts w:cs="Times New Roman"/>
        </w:rPr>
        <w:t xml:space="preserve">sample </w:t>
      </w:r>
      <w:r w:rsidR="009B4899" w:rsidRPr="00812E01">
        <w:rPr>
          <w:rFonts w:cs="Times New Roman"/>
          <w:color w:val="000000"/>
        </w:rPr>
        <w:t>basis.</w:t>
      </w:r>
      <w:r w:rsidR="009B4899" w:rsidRPr="00062196">
        <w:rPr>
          <w:rFonts w:cs="Times New Roman"/>
          <w:color w:val="000000"/>
        </w:rPr>
        <w:t xml:space="preserve"> Where sampling is used for the selection of projects for on-the-spot verifications, </w:t>
      </w:r>
      <w:r w:rsidR="009B4899">
        <w:rPr>
          <w:rFonts w:cs="Times New Roman"/>
          <w:color w:val="000000"/>
        </w:rPr>
        <w:t xml:space="preserve">the </w:t>
      </w:r>
      <w:r w:rsidR="00244B3A">
        <w:rPr>
          <w:rFonts w:cs="Times New Roman"/>
          <w:color w:val="000000"/>
        </w:rPr>
        <w:t>P</w:t>
      </w:r>
      <w:r w:rsidR="009B4899" w:rsidRPr="00062196">
        <w:rPr>
          <w:rFonts w:cs="Times New Roman"/>
          <w:color w:val="000000"/>
        </w:rPr>
        <w:t xml:space="preserve">O shall keep records describing and justifying the sampling method and a record of projects selected for verification. No project shall be excluded from the possibility of being subject to an on-the-spot verification. </w:t>
      </w:r>
      <w:r w:rsidR="009B4899" w:rsidRPr="00062196">
        <w:t>The sampling me</w:t>
      </w:r>
      <w:r w:rsidR="009B4899">
        <w:t>thodology used and a reasonable percentage</w:t>
      </w:r>
      <w:r w:rsidR="009B4899" w:rsidRPr="00062196">
        <w:t xml:space="preserve"> of project to be verified on-the-spot shall be established ex-ante by </w:t>
      </w:r>
      <w:r w:rsidR="009B4899">
        <w:t xml:space="preserve">the </w:t>
      </w:r>
      <w:r w:rsidR="00244B3A">
        <w:t>PO</w:t>
      </w:r>
      <w:r w:rsidR="009B4899" w:rsidRPr="00062196">
        <w:t xml:space="preserve"> and described in the </w:t>
      </w:r>
      <w:r w:rsidR="009B4899">
        <w:t>MCS</w:t>
      </w:r>
      <w:r w:rsidR="009B4899" w:rsidRPr="00062196">
        <w:t>.</w:t>
      </w:r>
    </w:p>
    <w:p w14:paraId="7ADAD40E" w14:textId="70C0B77C" w:rsidR="00C45897" w:rsidRDefault="00C45897" w:rsidP="00C45897">
      <w:pPr>
        <w:autoSpaceDE w:val="0"/>
        <w:autoSpaceDN w:val="0"/>
        <w:adjustRightInd w:val="0"/>
        <w:rPr>
          <w:noProof/>
          <w:lang w:eastAsia="en-GB"/>
        </w:rPr>
      </w:pPr>
      <w:r w:rsidRPr="009B7F14">
        <w:rPr>
          <w:rFonts w:cs="Times New Roman"/>
          <w:color w:val="000000"/>
        </w:rPr>
        <w:t xml:space="preserve">For </w:t>
      </w:r>
      <w:r>
        <w:rPr>
          <w:rFonts w:cs="Times New Roman"/>
          <w:color w:val="000000"/>
        </w:rPr>
        <w:t>a</w:t>
      </w:r>
      <w:r w:rsidRPr="009B7F14">
        <w:rPr>
          <w:rFonts w:cs="Times New Roman"/>
          <w:color w:val="000000"/>
        </w:rPr>
        <w:t xml:space="preserve"> selection of the expenditure items to be verified within each project the same rules apply</w:t>
      </w:r>
      <w:r>
        <w:rPr>
          <w:rFonts w:cs="Times New Roman"/>
          <w:color w:val="000000"/>
        </w:rPr>
        <w:t>,</w:t>
      </w:r>
      <w:r w:rsidRPr="009B7F14">
        <w:rPr>
          <w:rFonts w:cs="Times New Roman"/>
          <w:color w:val="000000"/>
        </w:rPr>
        <w:t xml:space="preserve"> as for </w:t>
      </w:r>
      <w:r>
        <w:rPr>
          <w:rFonts w:cs="Times New Roman"/>
          <w:color w:val="000000"/>
        </w:rPr>
        <w:t xml:space="preserve">the </w:t>
      </w:r>
      <w:r w:rsidRPr="009B7F14">
        <w:rPr>
          <w:rFonts w:cs="Times New Roman"/>
          <w:color w:val="000000"/>
        </w:rPr>
        <w:t>administrative verifications.</w:t>
      </w:r>
      <w:r w:rsidR="00DE5468" w:rsidRPr="00DE5468">
        <w:rPr>
          <w:noProof/>
          <w:lang w:eastAsia="en-GB"/>
        </w:rPr>
        <w:t xml:space="preserve"> </w:t>
      </w:r>
    </w:p>
    <w:p w14:paraId="20B2BC71" w14:textId="03F407DB" w:rsidR="00AC7BCF" w:rsidRPr="009B7F14" w:rsidRDefault="00AC7BCF" w:rsidP="00C45897">
      <w:pPr>
        <w:autoSpaceDE w:val="0"/>
        <w:autoSpaceDN w:val="0"/>
        <w:adjustRightInd w:val="0"/>
        <w:rPr>
          <w:rFonts w:cs="Times New Roman"/>
          <w:color w:val="000000"/>
        </w:rPr>
      </w:pPr>
      <w:r w:rsidRPr="00062196">
        <w:rPr>
          <w:rFonts w:cs="Times New Roman"/>
          <w:color w:val="000000"/>
        </w:rPr>
        <w:t xml:space="preserve">Generally, </w:t>
      </w:r>
      <w:r>
        <w:rPr>
          <w:rFonts w:cs="Times New Roman"/>
          <w:color w:val="000000"/>
        </w:rPr>
        <w:t xml:space="preserve">the </w:t>
      </w:r>
      <w:r w:rsidRPr="00062196">
        <w:rPr>
          <w:rFonts w:cs="Times New Roman"/>
          <w:color w:val="000000"/>
        </w:rPr>
        <w:t xml:space="preserve">notification of the on-the-spot verifications should be given in order to ensure that the relevant staff (e.g. project manager and accountant) and documentation (in particular, financial records including bank statements and </w:t>
      </w:r>
      <w:r w:rsidRPr="00B70C86">
        <w:rPr>
          <w:rFonts w:cs="Times New Roman"/>
          <w:color w:val="000000"/>
        </w:rPr>
        <w:t>original</w:t>
      </w:r>
      <w:r w:rsidRPr="00801C94">
        <w:rPr>
          <w:rFonts w:cs="Times New Roman"/>
          <w:color w:val="000000"/>
        </w:rPr>
        <w:t xml:space="preserve"> </w:t>
      </w:r>
      <w:r w:rsidRPr="00062196">
        <w:rPr>
          <w:rFonts w:cs="Times New Roman"/>
          <w:color w:val="000000"/>
        </w:rPr>
        <w:t>invoices) are made available during the verification. However, in some cases (e.g. suspected fraud, risk that documents will be forged, etc.), it may be appropriate to carry out on-the-spot verifications without a prior notice.</w:t>
      </w:r>
    </w:p>
    <w:p w14:paraId="59D52D82" w14:textId="5EE792D4" w:rsidR="00AC7BCF" w:rsidRDefault="00AC7BCF">
      <w:pPr>
        <w:spacing w:before="0" w:after="160"/>
        <w:jc w:val="left"/>
        <w:rPr>
          <w:b/>
          <w:bCs/>
          <w:sz w:val="18"/>
          <w:lang w:val="en-IE"/>
        </w:rPr>
      </w:pPr>
      <w:r>
        <w:rPr>
          <w:b/>
          <w:bCs/>
          <w:sz w:val="18"/>
          <w:lang w:val="en-IE"/>
        </w:rPr>
        <w:br w:type="page"/>
      </w:r>
    </w:p>
    <w:p w14:paraId="74F8BA89" w14:textId="375468F6" w:rsidR="006F3FF9" w:rsidRPr="002C3C0B" w:rsidRDefault="00AC7BCF" w:rsidP="00812E01">
      <w:pPr>
        <w:autoSpaceDE w:val="0"/>
        <w:autoSpaceDN w:val="0"/>
        <w:adjustRightInd w:val="0"/>
        <w:rPr>
          <w:rFonts w:cs="Times New Roman"/>
          <w:color w:val="000000"/>
        </w:rPr>
      </w:pPr>
      <w:r w:rsidRPr="009B7F14">
        <w:rPr>
          <w:noProof/>
          <w:lang w:eastAsia="en-GB"/>
        </w:rPr>
        <mc:AlternateContent>
          <mc:Choice Requires="wps">
            <w:drawing>
              <wp:anchor distT="0" distB="0" distL="114300" distR="114300" simplePos="0" relativeHeight="251783168" behindDoc="1" locked="0" layoutInCell="1" allowOverlap="1" wp14:anchorId="3C4B644F" wp14:editId="3353F45B">
                <wp:simplePos x="0" y="0"/>
                <wp:positionH relativeFrom="margin">
                  <wp:posOffset>0</wp:posOffset>
                </wp:positionH>
                <wp:positionV relativeFrom="paragraph">
                  <wp:posOffset>238125</wp:posOffset>
                </wp:positionV>
                <wp:extent cx="5791200" cy="3724275"/>
                <wp:effectExtent l="0" t="0" r="0" b="9525"/>
                <wp:wrapThrough wrapText="bothSides">
                  <wp:wrapPolygon edited="0">
                    <wp:start x="0" y="0"/>
                    <wp:lineTo x="0" y="21545"/>
                    <wp:lineTo x="21529" y="21545"/>
                    <wp:lineTo x="21529" y="0"/>
                    <wp:lineTo x="0" y="0"/>
                  </wp:wrapPolygon>
                </wp:wrapThrough>
                <wp:docPr id="7" name="Flowchart: Process 7"/>
                <wp:cNvGraphicFramePr/>
                <a:graphic xmlns:a="http://schemas.openxmlformats.org/drawingml/2006/main">
                  <a:graphicData uri="http://schemas.microsoft.com/office/word/2010/wordprocessingShape">
                    <wps:wsp>
                      <wps:cNvSpPr/>
                      <wps:spPr>
                        <a:xfrm>
                          <a:off x="0" y="0"/>
                          <a:ext cx="5791200" cy="3724275"/>
                        </a:xfrm>
                        <a:prstGeom prst="flowChartProcess">
                          <a:avLst/>
                        </a:prstGeom>
                        <a:solidFill>
                          <a:schemeClr val="accent1">
                            <a:lumMod val="20000"/>
                            <a:lumOff val="80000"/>
                          </a:schemeClr>
                        </a:solidFill>
                        <a:ln w="9525" cap="flat" cmpd="sng" algn="ctr">
                          <a:noFill/>
                          <a:prstDash val="solid"/>
                          <a:miter lim="800000"/>
                        </a:ln>
                        <a:effectLst/>
                      </wps:spPr>
                      <wps:txbx>
                        <w:txbxContent>
                          <w:p w14:paraId="34F9A55B" w14:textId="77777777" w:rsidR="00A87AB3" w:rsidRDefault="00A87AB3" w:rsidP="00AC7BCF">
                            <w:pPr>
                              <w:jc w:val="left"/>
                              <w:rPr>
                                <w:b/>
                                <w:bCs/>
                                <w:sz w:val="18"/>
                              </w:rPr>
                            </w:pPr>
                            <w:r w:rsidRPr="00ED13FE">
                              <w:rPr>
                                <w:b/>
                                <w:bCs/>
                                <w:sz w:val="18"/>
                                <w:lang w:val="en-IE"/>
                              </w:rPr>
                              <w:t>Timing of on-the-spot verifications</w:t>
                            </w:r>
                            <w:r w:rsidRPr="00ED13FE">
                              <w:rPr>
                                <w:b/>
                                <w:bCs/>
                                <w:sz w:val="18"/>
                              </w:rPr>
                              <w:t>:</w:t>
                            </w:r>
                          </w:p>
                          <w:p w14:paraId="68496A13" w14:textId="77777777" w:rsidR="00A87AB3" w:rsidRPr="00812E01" w:rsidRDefault="00A87AB3" w:rsidP="00AC7BCF">
                            <w:pPr>
                              <w:autoSpaceDE w:val="0"/>
                              <w:autoSpaceDN w:val="0"/>
                              <w:adjustRightInd w:val="0"/>
                              <w:spacing w:before="0"/>
                              <w:rPr>
                                <w:rFonts w:cs="Times New Roman"/>
                                <w:color w:val="000000"/>
                                <w:sz w:val="18"/>
                                <w:szCs w:val="18"/>
                              </w:rPr>
                            </w:pPr>
                            <w:r w:rsidRPr="00D95700">
                              <w:rPr>
                                <w:rFonts w:cs="Times New Roman"/>
                                <w:color w:val="000000"/>
                                <w:sz w:val="18"/>
                                <w:szCs w:val="18"/>
                              </w:rPr>
                              <w:t>The nature, specific characteristics of a project, amount of public support, risk level and the extent of administrative verifications, will often influence the timing of on-the-spot verifications.</w:t>
                            </w:r>
                            <w:r>
                              <w:rPr>
                                <w:rFonts w:cs="Times New Roman"/>
                                <w:color w:val="000000"/>
                                <w:sz w:val="18"/>
                                <w:szCs w:val="18"/>
                              </w:rPr>
                              <w:t xml:space="preserve"> </w:t>
                            </w:r>
                            <w:r w:rsidRPr="00D95700">
                              <w:rPr>
                                <w:rFonts w:cs="Times New Roman"/>
                                <w:color w:val="000000"/>
                                <w:sz w:val="18"/>
                                <w:szCs w:val="18"/>
                              </w:rPr>
                              <w:t>In general,</w:t>
                            </w:r>
                            <w:r>
                              <w:rPr>
                                <w:rFonts w:cs="Times New Roman"/>
                                <w:color w:val="000000"/>
                                <w:sz w:val="18"/>
                                <w:szCs w:val="18"/>
                              </w:rPr>
                              <w:t xml:space="preserve"> it is recommended to carry them</w:t>
                            </w:r>
                            <w:r w:rsidRPr="00D95700">
                              <w:rPr>
                                <w:rFonts w:cs="Times New Roman"/>
                                <w:color w:val="000000"/>
                                <w:sz w:val="18"/>
                                <w:szCs w:val="18"/>
                              </w:rPr>
                              <w:t xml:space="preserve"> </w:t>
                            </w:r>
                            <w:r>
                              <w:rPr>
                                <w:rFonts w:cs="Times New Roman"/>
                                <w:color w:val="000000"/>
                                <w:sz w:val="18"/>
                                <w:szCs w:val="18"/>
                              </w:rPr>
                              <w:t xml:space="preserve">prior </w:t>
                            </w:r>
                            <w:r w:rsidRPr="00D95700">
                              <w:rPr>
                                <w:rFonts w:cs="Times New Roman"/>
                                <w:color w:val="000000"/>
                                <w:sz w:val="18"/>
                                <w:szCs w:val="18"/>
                              </w:rPr>
                              <w:t xml:space="preserve">to the project completion to enable corrective action in case problems are identified and to avoid that irregular expenditures are approved. </w:t>
                            </w:r>
                          </w:p>
                          <w:p w14:paraId="637748D2" w14:textId="77777777" w:rsidR="00A87AB3" w:rsidRDefault="00A87AB3" w:rsidP="00AC7BCF">
                            <w:pPr>
                              <w:spacing w:before="0"/>
                              <w:rPr>
                                <w:rFonts w:cs="Times New Roman"/>
                                <w:color w:val="000000"/>
                                <w:sz w:val="18"/>
                                <w:szCs w:val="18"/>
                              </w:rPr>
                            </w:pPr>
                            <w:r w:rsidRPr="00D95700">
                              <w:rPr>
                                <w:rFonts w:cs="Times New Roman"/>
                                <w:color w:val="000000"/>
                                <w:sz w:val="18"/>
                                <w:szCs w:val="18"/>
                              </w:rPr>
                              <w:t>Where the same forms of support are awarded following an annual call for expressions of interest, on-the-spot verifications carried out in the first year should help to prevent recurrence of problems in later years.</w:t>
                            </w:r>
                          </w:p>
                          <w:p w14:paraId="72318C09" w14:textId="77777777" w:rsidR="00A87AB3" w:rsidRPr="002C3C0B" w:rsidRDefault="00A87AB3" w:rsidP="00AC7BCF">
                            <w:pPr>
                              <w:spacing w:before="0"/>
                              <w:rPr>
                                <w:rFonts w:cs="Times New Roman"/>
                                <w:color w:val="000000"/>
                                <w:sz w:val="18"/>
                                <w:szCs w:val="18"/>
                              </w:rPr>
                            </w:pPr>
                            <w:r>
                              <w:rPr>
                                <w:rFonts w:cs="Times New Roman"/>
                                <w:color w:val="000000"/>
                                <w:sz w:val="18"/>
                                <w:szCs w:val="18"/>
                              </w:rPr>
                              <w:t>The recommended timing is:</w:t>
                            </w:r>
                          </w:p>
                          <w:p w14:paraId="71D616C0" w14:textId="77777777" w:rsidR="00A87AB3" w:rsidRPr="002C3C0B" w:rsidRDefault="00A87AB3" w:rsidP="009F01EE">
                            <w:pPr>
                              <w:pStyle w:val="ListParagraph"/>
                              <w:numPr>
                                <w:ilvl w:val="0"/>
                                <w:numId w:val="37"/>
                              </w:numPr>
                              <w:ind w:left="284" w:hanging="284"/>
                              <w:contextualSpacing w:val="0"/>
                              <w:rPr>
                                <w:rFonts w:cs="Times New Roman"/>
                                <w:color w:val="000000"/>
                                <w:sz w:val="18"/>
                                <w:szCs w:val="18"/>
                              </w:rPr>
                            </w:pPr>
                            <w:r w:rsidRPr="002C3C0B">
                              <w:rPr>
                                <w:rFonts w:cs="Times New Roman"/>
                                <w:color w:val="000000"/>
                                <w:sz w:val="18"/>
                                <w:szCs w:val="18"/>
                              </w:rPr>
                              <w:t>Normally, when the project is well under way (physical and financial progress)</w:t>
                            </w:r>
                          </w:p>
                          <w:p w14:paraId="3D33A9BA" w14:textId="77777777" w:rsidR="00A87AB3" w:rsidRPr="002C3C0B" w:rsidRDefault="00A87AB3" w:rsidP="009F01EE">
                            <w:pPr>
                              <w:pStyle w:val="ListParagraph"/>
                              <w:numPr>
                                <w:ilvl w:val="0"/>
                                <w:numId w:val="37"/>
                              </w:numPr>
                              <w:ind w:left="284" w:hanging="284"/>
                              <w:contextualSpacing w:val="0"/>
                              <w:rPr>
                                <w:rFonts w:cs="Times New Roman"/>
                                <w:color w:val="000000"/>
                                <w:sz w:val="18"/>
                                <w:szCs w:val="18"/>
                              </w:rPr>
                            </w:pPr>
                            <w:r w:rsidRPr="002C3C0B">
                              <w:rPr>
                                <w:rFonts w:cs="Times New Roman"/>
                                <w:color w:val="000000"/>
                                <w:sz w:val="18"/>
                                <w:szCs w:val="18"/>
                              </w:rPr>
                              <w:t>Projects of intangible nature: during project implementation to attest reality of activity</w:t>
                            </w:r>
                          </w:p>
                          <w:p w14:paraId="020326A8" w14:textId="77777777" w:rsidR="00A87AB3" w:rsidRPr="002C3C0B" w:rsidRDefault="00A87AB3" w:rsidP="009F01EE">
                            <w:pPr>
                              <w:pStyle w:val="ListParagraph"/>
                              <w:numPr>
                                <w:ilvl w:val="0"/>
                                <w:numId w:val="37"/>
                              </w:numPr>
                              <w:ind w:left="284" w:hanging="284"/>
                              <w:contextualSpacing w:val="0"/>
                              <w:rPr>
                                <w:rFonts w:cs="Times New Roman"/>
                                <w:color w:val="000000"/>
                                <w:sz w:val="18"/>
                                <w:szCs w:val="18"/>
                              </w:rPr>
                            </w:pPr>
                            <w:r w:rsidRPr="002C3C0B">
                              <w:rPr>
                                <w:rFonts w:cs="Times New Roman"/>
                                <w:color w:val="000000"/>
                                <w:sz w:val="18"/>
                                <w:szCs w:val="18"/>
                              </w:rPr>
                              <w:t xml:space="preserve">Projects for which the entire purchase price of an equipment item was allowed by the PO: an additional verification after project’s completion should be considered in order to verify compliance with additional obligations as stipulated in the Reg. Art. </w:t>
                            </w:r>
                            <w:r>
                              <w:rPr>
                                <w:rFonts w:cs="Times New Roman"/>
                                <w:color w:val="000000"/>
                                <w:sz w:val="18"/>
                                <w:szCs w:val="18"/>
                              </w:rPr>
                              <w:t>8.3.2</w:t>
                            </w:r>
                          </w:p>
                          <w:p w14:paraId="4DEEA597" w14:textId="77777777" w:rsidR="00A87AB3" w:rsidRPr="002C3C0B" w:rsidRDefault="00A87AB3" w:rsidP="009F01EE">
                            <w:pPr>
                              <w:pStyle w:val="ListParagraph"/>
                              <w:numPr>
                                <w:ilvl w:val="0"/>
                                <w:numId w:val="37"/>
                              </w:numPr>
                              <w:ind w:left="284" w:hanging="284"/>
                              <w:contextualSpacing w:val="0"/>
                              <w:rPr>
                                <w:rFonts w:cs="Times New Roman"/>
                                <w:color w:val="000000"/>
                                <w:sz w:val="18"/>
                                <w:szCs w:val="18"/>
                              </w:rPr>
                            </w:pPr>
                            <w:r w:rsidRPr="002C3C0B">
                              <w:rPr>
                                <w:rFonts w:cs="Times New Roman"/>
                                <w:color w:val="000000"/>
                                <w:sz w:val="18"/>
                                <w:szCs w:val="18"/>
                              </w:rPr>
                              <w:t>Multiannual infrastructure projects: at various occasions, with initial visit to ensure preventive effect; final visit after completion of investment to verify the reality of the project</w:t>
                            </w:r>
                          </w:p>
                          <w:p w14:paraId="5753724A" w14:textId="77777777" w:rsidR="00A87AB3" w:rsidRPr="002C3C0B" w:rsidRDefault="00A87AB3" w:rsidP="00AC7BCF">
                            <w:pPr>
                              <w:rPr>
                                <w:rFonts w:cs="Times New Roman"/>
                                <w:color w:val="000000"/>
                                <w:sz w:val="18"/>
                                <w:szCs w:val="18"/>
                              </w:rPr>
                            </w:pPr>
                            <w:r w:rsidRPr="002C3C0B">
                              <w:rPr>
                                <w:rFonts w:cs="Times New Roman"/>
                                <w:color w:val="000000"/>
                                <w:sz w:val="18"/>
                                <w:szCs w:val="18"/>
                              </w:rPr>
                              <w:t>Visits of projects as a preventive measure to verify the capacity of an applicant do not replace the on-the-spot verifications of projects selected for funding.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B644F" id="Flowchart: Process 7" o:spid="_x0000_s1048" type="#_x0000_t109" style="position:absolute;left:0;text-align:left;margin-left:0;margin-top:18.75pt;width:456pt;height:293.25pt;z-index:-25153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" fillcolor="#deeaf6 [660]" stroked="f">
                <v:textbox>
                  <w:txbxContent>
                    <w:p w14:paraId="34F9A55B" w14:textId="77777777" w:rsidR="00A87AB3" w:rsidRDefault="00A87AB3" w:rsidP="00AC7BCF">
                      <w:pPr>
                        <w:jc w:val="left"/>
                        <w:rPr>
                          <w:b/>
                          <w:bCs/>
                          <w:sz w:val="18"/>
                        </w:rPr>
                      </w:pPr>
                      <w:r w:rsidRPr="00ED13FE">
                        <w:rPr>
                          <w:b/>
                          <w:bCs/>
                          <w:sz w:val="18"/>
                          <w:lang w:val="en-IE"/>
                        </w:rPr>
                        <w:t>Timing of on-the-spot verifications</w:t>
                      </w:r>
                      <w:r w:rsidRPr="00ED13FE">
                        <w:rPr>
                          <w:b/>
                          <w:bCs/>
                          <w:sz w:val="18"/>
                        </w:rPr>
                        <w:t>:</w:t>
                      </w:r>
                    </w:p>
                    <w:p w14:paraId="68496A13" w14:textId="77777777" w:rsidR="00A87AB3" w:rsidRPr="00812E01" w:rsidRDefault="00A87AB3" w:rsidP="00AC7BCF">
                      <w:pPr>
                        <w:autoSpaceDE w:val="0"/>
                        <w:autoSpaceDN w:val="0"/>
                        <w:adjustRightInd w:val="0"/>
                        <w:spacing w:before="0"/>
                        <w:rPr>
                          <w:rFonts w:cs="Times New Roman"/>
                          <w:color w:val="000000"/>
                          <w:sz w:val="18"/>
                          <w:szCs w:val="18"/>
                        </w:rPr>
                      </w:pPr>
                      <w:r w:rsidRPr="00D95700">
                        <w:rPr>
                          <w:rFonts w:cs="Times New Roman"/>
                          <w:color w:val="000000"/>
                          <w:sz w:val="18"/>
                          <w:szCs w:val="18"/>
                        </w:rPr>
                        <w:t>The nature, specific characteristics of a project, amount of public support, risk level and the extent of administrative verifications, will often influence the timing of on-the-spot verifications.</w:t>
                      </w:r>
                      <w:r>
                        <w:rPr>
                          <w:rFonts w:cs="Times New Roman"/>
                          <w:color w:val="000000"/>
                          <w:sz w:val="18"/>
                          <w:szCs w:val="18"/>
                        </w:rPr>
                        <w:t xml:space="preserve"> </w:t>
                      </w:r>
                      <w:r w:rsidRPr="00D95700">
                        <w:rPr>
                          <w:rFonts w:cs="Times New Roman"/>
                          <w:color w:val="000000"/>
                          <w:sz w:val="18"/>
                          <w:szCs w:val="18"/>
                        </w:rPr>
                        <w:t>In general,</w:t>
                      </w:r>
                      <w:r>
                        <w:rPr>
                          <w:rFonts w:cs="Times New Roman"/>
                          <w:color w:val="000000"/>
                          <w:sz w:val="18"/>
                          <w:szCs w:val="18"/>
                        </w:rPr>
                        <w:t xml:space="preserve"> it is recommended to carry them</w:t>
                      </w:r>
                      <w:r w:rsidRPr="00D95700">
                        <w:rPr>
                          <w:rFonts w:cs="Times New Roman"/>
                          <w:color w:val="000000"/>
                          <w:sz w:val="18"/>
                          <w:szCs w:val="18"/>
                        </w:rPr>
                        <w:t xml:space="preserve"> </w:t>
                      </w:r>
                      <w:r>
                        <w:rPr>
                          <w:rFonts w:cs="Times New Roman"/>
                          <w:color w:val="000000"/>
                          <w:sz w:val="18"/>
                          <w:szCs w:val="18"/>
                        </w:rPr>
                        <w:t xml:space="preserve">prior </w:t>
                      </w:r>
                      <w:r w:rsidRPr="00D95700">
                        <w:rPr>
                          <w:rFonts w:cs="Times New Roman"/>
                          <w:color w:val="000000"/>
                          <w:sz w:val="18"/>
                          <w:szCs w:val="18"/>
                        </w:rPr>
                        <w:t xml:space="preserve">to the project completion to enable corrective action in case problems are identified and to avoid that irregular expenditures are approved. </w:t>
                      </w:r>
                    </w:p>
                    <w:p w14:paraId="637748D2" w14:textId="77777777" w:rsidR="00A87AB3" w:rsidRDefault="00A87AB3" w:rsidP="00AC7BCF">
                      <w:pPr>
                        <w:spacing w:before="0"/>
                        <w:rPr>
                          <w:rFonts w:cs="Times New Roman"/>
                          <w:color w:val="000000"/>
                          <w:sz w:val="18"/>
                          <w:szCs w:val="18"/>
                        </w:rPr>
                      </w:pPr>
                      <w:r w:rsidRPr="00D95700">
                        <w:rPr>
                          <w:rFonts w:cs="Times New Roman"/>
                          <w:color w:val="000000"/>
                          <w:sz w:val="18"/>
                          <w:szCs w:val="18"/>
                        </w:rPr>
                        <w:t>Where the same forms of support are awarded following an annual call for expressions of interest, on-the-spot verifications carried out in the first year should help to prevent recurrence of problems in later years.</w:t>
                      </w:r>
                    </w:p>
                    <w:p w14:paraId="72318C09" w14:textId="77777777" w:rsidR="00A87AB3" w:rsidRPr="002C3C0B" w:rsidRDefault="00A87AB3" w:rsidP="00AC7BCF">
                      <w:pPr>
                        <w:spacing w:before="0"/>
                        <w:rPr>
                          <w:rFonts w:cs="Times New Roman"/>
                          <w:color w:val="000000"/>
                          <w:sz w:val="18"/>
                          <w:szCs w:val="18"/>
                        </w:rPr>
                      </w:pPr>
                      <w:r>
                        <w:rPr>
                          <w:rFonts w:cs="Times New Roman"/>
                          <w:color w:val="000000"/>
                          <w:sz w:val="18"/>
                          <w:szCs w:val="18"/>
                        </w:rPr>
                        <w:t>The recommended timing is:</w:t>
                      </w:r>
                    </w:p>
                    <w:p w14:paraId="71D616C0" w14:textId="77777777" w:rsidR="00A87AB3" w:rsidRPr="002C3C0B" w:rsidRDefault="00A87AB3" w:rsidP="009F01EE">
                      <w:pPr>
                        <w:pStyle w:val="ListParagraph"/>
                        <w:numPr>
                          <w:ilvl w:val="0"/>
                          <w:numId w:val="37"/>
                        </w:numPr>
                        <w:ind w:left="284" w:hanging="284"/>
                        <w:contextualSpacing w:val="0"/>
                        <w:rPr>
                          <w:rFonts w:cs="Times New Roman"/>
                          <w:color w:val="000000"/>
                          <w:sz w:val="18"/>
                          <w:szCs w:val="18"/>
                        </w:rPr>
                      </w:pPr>
                      <w:r w:rsidRPr="002C3C0B">
                        <w:rPr>
                          <w:rFonts w:cs="Times New Roman"/>
                          <w:color w:val="000000"/>
                          <w:sz w:val="18"/>
                          <w:szCs w:val="18"/>
                        </w:rPr>
                        <w:t>Normally, when the project is well under way (physical and financial progress)</w:t>
                      </w:r>
                    </w:p>
                    <w:p w14:paraId="3D33A9BA" w14:textId="77777777" w:rsidR="00A87AB3" w:rsidRPr="002C3C0B" w:rsidRDefault="00A87AB3" w:rsidP="009F01EE">
                      <w:pPr>
                        <w:pStyle w:val="ListParagraph"/>
                        <w:numPr>
                          <w:ilvl w:val="0"/>
                          <w:numId w:val="37"/>
                        </w:numPr>
                        <w:ind w:left="284" w:hanging="284"/>
                        <w:contextualSpacing w:val="0"/>
                        <w:rPr>
                          <w:rFonts w:cs="Times New Roman"/>
                          <w:color w:val="000000"/>
                          <w:sz w:val="18"/>
                          <w:szCs w:val="18"/>
                        </w:rPr>
                      </w:pPr>
                      <w:r w:rsidRPr="002C3C0B">
                        <w:rPr>
                          <w:rFonts w:cs="Times New Roman"/>
                          <w:color w:val="000000"/>
                          <w:sz w:val="18"/>
                          <w:szCs w:val="18"/>
                        </w:rPr>
                        <w:t>Projects of intangible nature: during project implementation to attest reality of activity</w:t>
                      </w:r>
                    </w:p>
                    <w:p w14:paraId="020326A8" w14:textId="77777777" w:rsidR="00A87AB3" w:rsidRPr="002C3C0B" w:rsidRDefault="00A87AB3" w:rsidP="009F01EE">
                      <w:pPr>
                        <w:pStyle w:val="ListParagraph"/>
                        <w:numPr>
                          <w:ilvl w:val="0"/>
                          <w:numId w:val="37"/>
                        </w:numPr>
                        <w:ind w:left="284" w:hanging="284"/>
                        <w:contextualSpacing w:val="0"/>
                        <w:rPr>
                          <w:rFonts w:cs="Times New Roman"/>
                          <w:color w:val="000000"/>
                          <w:sz w:val="18"/>
                          <w:szCs w:val="18"/>
                        </w:rPr>
                      </w:pPr>
                      <w:r w:rsidRPr="002C3C0B">
                        <w:rPr>
                          <w:rFonts w:cs="Times New Roman"/>
                          <w:color w:val="000000"/>
                          <w:sz w:val="18"/>
                          <w:szCs w:val="18"/>
                        </w:rPr>
                        <w:t xml:space="preserve">Projects for which the entire purchase price of an equipment item was allowed by the PO: an additional verification after project’s completion should be considered in order to verify compliance with additional obligations as stipulated in the Reg. Art. </w:t>
                      </w:r>
                      <w:r>
                        <w:rPr>
                          <w:rFonts w:cs="Times New Roman"/>
                          <w:color w:val="000000"/>
                          <w:sz w:val="18"/>
                          <w:szCs w:val="18"/>
                        </w:rPr>
                        <w:t>8.3.2</w:t>
                      </w:r>
                    </w:p>
                    <w:p w14:paraId="4DEEA597" w14:textId="77777777" w:rsidR="00A87AB3" w:rsidRPr="002C3C0B" w:rsidRDefault="00A87AB3" w:rsidP="009F01EE">
                      <w:pPr>
                        <w:pStyle w:val="ListParagraph"/>
                        <w:numPr>
                          <w:ilvl w:val="0"/>
                          <w:numId w:val="37"/>
                        </w:numPr>
                        <w:ind w:left="284" w:hanging="284"/>
                        <w:contextualSpacing w:val="0"/>
                        <w:rPr>
                          <w:rFonts w:cs="Times New Roman"/>
                          <w:color w:val="000000"/>
                          <w:sz w:val="18"/>
                          <w:szCs w:val="18"/>
                        </w:rPr>
                      </w:pPr>
                      <w:r w:rsidRPr="002C3C0B">
                        <w:rPr>
                          <w:rFonts w:cs="Times New Roman"/>
                          <w:color w:val="000000"/>
                          <w:sz w:val="18"/>
                          <w:szCs w:val="18"/>
                        </w:rPr>
                        <w:t>Multiannual infrastructure projects: at various occasions, with initial visit to ensure preventive effect; final visit after completion of investment to verify the reality of the project</w:t>
                      </w:r>
                    </w:p>
                    <w:p w14:paraId="5753724A" w14:textId="77777777" w:rsidR="00A87AB3" w:rsidRPr="002C3C0B" w:rsidRDefault="00A87AB3" w:rsidP="00AC7BCF">
                      <w:pPr>
                        <w:rPr>
                          <w:rFonts w:cs="Times New Roman"/>
                          <w:color w:val="000000"/>
                          <w:sz w:val="18"/>
                          <w:szCs w:val="18"/>
                        </w:rPr>
                      </w:pPr>
                      <w:r w:rsidRPr="002C3C0B">
                        <w:rPr>
                          <w:rFonts w:cs="Times New Roman"/>
                          <w:color w:val="000000"/>
                          <w:sz w:val="18"/>
                          <w:szCs w:val="18"/>
                        </w:rPr>
                        <w:t>Visits of projects as a preventive measure to verify the capacity of an applicant do not replace the on-the-spot verifications of projects selected for funding.</w:t>
                      </w:r>
                    </w:p>
                  </w:txbxContent>
                </v:textbox>
                <w10:wrap type="through" anchorx="margin"/>
              </v:shape>
            </w:pict>
          </mc:Fallback>
        </mc:AlternateContent>
      </w:r>
    </w:p>
    <w:p w14:paraId="5A69F596" w14:textId="3901FDAF" w:rsidR="00EA0104" w:rsidRPr="006F3FF9" w:rsidRDefault="0087248B" w:rsidP="00920571">
      <w:pPr>
        <w:pStyle w:val="Heading2"/>
      </w:pPr>
      <w:bookmarkStart w:id="62" w:name="_Ref462300765"/>
      <w:bookmarkStart w:id="63" w:name="_Toc484174845"/>
      <w:r w:rsidRPr="009B7F14">
        <w:t>P</w:t>
      </w:r>
      <w:r w:rsidRPr="006F3FF9">
        <w:t xml:space="preserve">roof of </w:t>
      </w:r>
      <w:r w:rsidRPr="004379FE">
        <w:t>expenditure</w:t>
      </w:r>
      <w:r w:rsidRPr="006F3FF9">
        <w:t xml:space="preserve"> (</w:t>
      </w:r>
      <w:r w:rsidR="008563A7" w:rsidRPr="006F3FF9">
        <w:t xml:space="preserve">Reg. </w:t>
      </w:r>
      <w:r w:rsidRPr="006F3FF9">
        <w:t>Art. 8</w:t>
      </w:r>
      <w:r w:rsidR="005D4A0C" w:rsidRPr="006F3FF9">
        <w:t>.1</w:t>
      </w:r>
      <w:r w:rsidRPr="006F3FF9">
        <w:t>2</w:t>
      </w:r>
      <w:r w:rsidR="005D4A0C" w:rsidRPr="006F3FF9">
        <w:t>)</w:t>
      </w:r>
      <w:bookmarkEnd w:id="62"/>
      <w:bookmarkEnd w:id="63"/>
    </w:p>
    <w:p w14:paraId="2DFF55C8" w14:textId="74928113" w:rsidR="00CD5AD4" w:rsidRPr="009B7F14" w:rsidRDefault="00560C86" w:rsidP="00376576">
      <w:r w:rsidRPr="009B7F14">
        <w:t xml:space="preserve">The main </w:t>
      </w:r>
      <w:r w:rsidR="009710DB" w:rsidRPr="009B7F14">
        <w:t>rule</w:t>
      </w:r>
      <w:r w:rsidRPr="009B7F14">
        <w:t xml:space="preserve"> is that all the costs incurred by the P</w:t>
      </w:r>
      <w:r w:rsidR="00A02DAD" w:rsidRPr="009B7F14">
        <w:t>O</w:t>
      </w:r>
      <w:r w:rsidRPr="009B7F14">
        <w:t>, P</w:t>
      </w:r>
      <w:r w:rsidR="00A02DAD" w:rsidRPr="009B7F14">
        <w:t>P</w:t>
      </w:r>
      <w:r w:rsidRPr="009B7F14">
        <w:t xml:space="preserve"> and </w:t>
      </w:r>
      <w:r w:rsidR="00886AE6" w:rsidRPr="009B7F14">
        <w:t>p</w:t>
      </w:r>
      <w:r w:rsidRPr="009B7F14">
        <w:t>roject partners need to be supported by receipted invoices or alternatively by accounting documents</w:t>
      </w:r>
      <w:r w:rsidR="00886AE6" w:rsidRPr="009B7F14">
        <w:t xml:space="preserve"> of equivalent probative value to be considered eligible under the grant agreement (</w:t>
      </w:r>
      <w:r w:rsidR="008563A7" w:rsidRPr="009B7F14">
        <w:t xml:space="preserve">Reg. </w:t>
      </w:r>
      <w:r w:rsidR="00886AE6" w:rsidRPr="009B7F14">
        <w:t>Art</w:t>
      </w:r>
      <w:r w:rsidR="008563A7" w:rsidRPr="009B7F14">
        <w:t>.</w:t>
      </w:r>
      <w:r w:rsidR="00886AE6" w:rsidRPr="009B7F14">
        <w:t xml:space="preserve"> </w:t>
      </w:r>
      <w:r w:rsidR="00295D2D" w:rsidRPr="009B7F14">
        <w:t>8.12</w:t>
      </w:r>
      <w:r w:rsidR="00886AE6" w:rsidRPr="009B7F14">
        <w:t>.1).</w:t>
      </w:r>
      <w:r w:rsidR="009710DB" w:rsidRPr="009B7F14">
        <w:t xml:space="preserve"> </w:t>
      </w:r>
    </w:p>
    <w:p w14:paraId="378AAEC7" w14:textId="77777777" w:rsidR="009710DB" w:rsidRPr="009B7F14" w:rsidRDefault="009710DB" w:rsidP="00376576">
      <w:r w:rsidRPr="009B7F14">
        <w:t>However, this does not mean that the P</w:t>
      </w:r>
      <w:r w:rsidR="00A02DAD" w:rsidRPr="009B7F14">
        <w:t>O</w:t>
      </w:r>
      <w:r w:rsidRPr="009B7F14">
        <w:t xml:space="preserve"> is obliged to set up a system which involves that all the invoices or accounting documents are required to be submitted each time a P</w:t>
      </w:r>
      <w:r w:rsidR="00A02DAD" w:rsidRPr="009B7F14">
        <w:t>P</w:t>
      </w:r>
      <w:r w:rsidRPr="009B7F14">
        <w:t xml:space="preserve"> submits a </w:t>
      </w:r>
      <w:r w:rsidR="00B237D8" w:rsidRPr="009B7F14">
        <w:t>financial report</w:t>
      </w:r>
      <w:r w:rsidRPr="009B7F14">
        <w:t>. The Regulation obliges the P</w:t>
      </w:r>
      <w:r w:rsidR="00A02DAD" w:rsidRPr="009B7F14">
        <w:t>O</w:t>
      </w:r>
      <w:r w:rsidRPr="009B7F14">
        <w:t xml:space="preserve"> to set up a system and control mechanism which ensure a sufficient level of control over the expenditure that is incurred by P</w:t>
      </w:r>
      <w:r w:rsidR="00A02DAD" w:rsidRPr="009B7F14">
        <w:t>P</w:t>
      </w:r>
      <w:r w:rsidR="00CD5AD4" w:rsidRPr="009B7F14">
        <w:t xml:space="preserve"> or a partner</w:t>
      </w:r>
      <w:r w:rsidRPr="009B7F14">
        <w:t>. However, within this requirement there is a reasonable amount of flexibility as long as certain fundamental aspects are fulfilled. The P</w:t>
      </w:r>
      <w:r w:rsidR="00A02DAD" w:rsidRPr="009B7F14">
        <w:t>O</w:t>
      </w:r>
      <w:r w:rsidRPr="009B7F14">
        <w:t xml:space="preserve"> should take into account the proportionality (e.g. audit costs vs. the incurred expenditure to be certified) and request the proof of expenditure accordingly (this could be e.g. once a year).</w:t>
      </w:r>
    </w:p>
    <w:p w14:paraId="5E5FC8F4" w14:textId="6E7B6D95" w:rsidR="000D7D0D" w:rsidRPr="009B7F14" w:rsidRDefault="000D7D0D" w:rsidP="00376576">
      <w:r w:rsidRPr="009B7F14">
        <w:t>For the</w:t>
      </w:r>
      <w:r w:rsidR="003E0A42" w:rsidRPr="009B7F14">
        <w:t xml:space="preserve"> financial reporting</w:t>
      </w:r>
      <w:r w:rsidRPr="009B7F14">
        <w:t xml:space="preserve"> purposes the P</w:t>
      </w:r>
      <w:r w:rsidR="00CD5AD4" w:rsidRPr="009B7F14">
        <w:t>Ps</w:t>
      </w:r>
      <w:r w:rsidRPr="009B7F14">
        <w:t xml:space="preserve"> and project partners may also opt for </w:t>
      </w:r>
      <w:r w:rsidR="00612849" w:rsidRPr="009B7F14">
        <w:t xml:space="preserve">a report by an independent auditor qualified to carry statutory audits of accounting documents. </w:t>
      </w:r>
      <w:r w:rsidR="008C48A6" w:rsidRPr="009B7F14">
        <w:t>It is also possible to opt for a certificate issued by a competent and independent public officer.</w:t>
      </w:r>
      <w:r w:rsidR="00042694">
        <w:rPr>
          <w:rStyle w:val="FootnoteReference"/>
        </w:rPr>
        <w:footnoteReference w:id="14"/>
      </w:r>
      <w:r w:rsidR="008C48A6" w:rsidRPr="009B7F14">
        <w:t xml:space="preserve"> This officer needs to be recognised by the relevant national authorities as having a budget and financial control capacity over the entity incurring the costs. In addition this public officer needs to be independent meaning that he/she hasn’t been involved in the preparation of the financial statements (financial reporting).  </w:t>
      </w:r>
      <w:r w:rsidR="00612849" w:rsidRPr="009B7F14">
        <w:t>The auditor</w:t>
      </w:r>
      <w:r w:rsidR="008C48A6" w:rsidRPr="009B7F14">
        <w:t>/public officer</w:t>
      </w:r>
      <w:r w:rsidR="00612849" w:rsidRPr="009B7F14">
        <w:t xml:space="preserve"> is </w:t>
      </w:r>
      <w:r w:rsidR="00780326" w:rsidRPr="009B7F14">
        <w:t xml:space="preserve">there </w:t>
      </w:r>
      <w:r w:rsidR="00612849" w:rsidRPr="009B7F14">
        <w:t xml:space="preserve">to certify that the </w:t>
      </w:r>
      <w:r w:rsidR="00DE5468">
        <w:t>reported</w:t>
      </w:r>
      <w:r w:rsidR="00DE5468" w:rsidRPr="009B7F14">
        <w:t xml:space="preserve"> </w:t>
      </w:r>
      <w:r w:rsidR="00612849" w:rsidRPr="009B7F14">
        <w:t xml:space="preserve">costs </w:t>
      </w:r>
      <w:r w:rsidR="004B28B3" w:rsidRPr="009B7F14">
        <w:t>are</w:t>
      </w:r>
      <w:r w:rsidR="00612849" w:rsidRPr="009B7F14">
        <w:t xml:space="preserve"> incurred in accordance with the Regulation</w:t>
      </w:r>
      <w:r w:rsidR="008B041F" w:rsidRPr="009B7F14">
        <w:t>, the national law and relevant national accounting practices. This report sh</w:t>
      </w:r>
      <w:r w:rsidR="00886AE6" w:rsidRPr="009B7F14">
        <w:t>all</w:t>
      </w:r>
      <w:r w:rsidR="008B041F" w:rsidRPr="009B7F14">
        <w:t xml:space="preserve"> be accepted as sufficient proof of </w:t>
      </w:r>
      <w:r w:rsidR="00E92873" w:rsidRPr="009B7F14">
        <w:t xml:space="preserve">incurred expenditure that will be submitted </w:t>
      </w:r>
      <w:r w:rsidR="00295ECD" w:rsidRPr="009B7F14">
        <w:t>to the P</w:t>
      </w:r>
      <w:r w:rsidR="00780326" w:rsidRPr="009B7F14">
        <w:t>O</w:t>
      </w:r>
      <w:r w:rsidR="00FB50AD" w:rsidRPr="009B7F14">
        <w:t>.</w:t>
      </w:r>
      <w:r w:rsidR="00295ECD" w:rsidRPr="009B7F14">
        <w:t xml:space="preserve"> </w:t>
      </w:r>
      <w:r w:rsidR="00886AE6" w:rsidRPr="009B7F14">
        <w:t>It should be noted that the P</w:t>
      </w:r>
      <w:r w:rsidR="00780326" w:rsidRPr="009B7F14">
        <w:t>O</w:t>
      </w:r>
      <w:r w:rsidR="00886AE6" w:rsidRPr="009B7F14">
        <w:t xml:space="preserve"> may decide to apply this option of report only to projects partners who are located in another Beneficiary State or Donor State or who are inter-governmental organisations. This would mean that the PP</w:t>
      </w:r>
      <w:r w:rsidR="004B28B3" w:rsidRPr="009B7F14">
        <w:t>s</w:t>
      </w:r>
      <w:r w:rsidR="00886AE6" w:rsidRPr="009B7F14">
        <w:t xml:space="preserve"> and </w:t>
      </w:r>
      <w:r w:rsidR="004B28B3" w:rsidRPr="009B7F14">
        <w:t>project partners</w:t>
      </w:r>
      <w:r w:rsidR="00886AE6" w:rsidRPr="009B7F14">
        <w:t xml:space="preserve"> in the respective Beneficiary State would need to submit the supporting documents and would not have an option to submit report instead. </w:t>
      </w:r>
    </w:p>
    <w:p w14:paraId="1BAD2F7B" w14:textId="77777777" w:rsidR="009710DB" w:rsidRPr="009B7F14" w:rsidRDefault="000D7D0D" w:rsidP="00376576">
      <w:r w:rsidRPr="009B7F14">
        <w:t xml:space="preserve">The proof of expenditure </w:t>
      </w:r>
      <w:r w:rsidR="009710DB" w:rsidRPr="009B7F14">
        <w:t xml:space="preserve">needs to be in place and available even </w:t>
      </w:r>
      <w:r w:rsidRPr="009B7F14">
        <w:t xml:space="preserve">if </w:t>
      </w:r>
      <w:r w:rsidR="00FB50AD" w:rsidRPr="009B7F14">
        <w:t xml:space="preserve">it </w:t>
      </w:r>
      <w:r w:rsidR="00386D12" w:rsidRPr="009B7F14">
        <w:t>is not</w:t>
      </w:r>
      <w:r w:rsidRPr="009B7F14">
        <w:t xml:space="preserve"> </w:t>
      </w:r>
      <w:r w:rsidR="00FB50AD" w:rsidRPr="009B7F14">
        <w:t xml:space="preserve">required </w:t>
      </w:r>
      <w:r w:rsidRPr="009B7F14">
        <w:t xml:space="preserve">to </w:t>
      </w:r>
      <w:r w:rsidR="00295ECD" w:rsidRPr="009B7F14">
        <w:t xml:space="preserve">be </w:t>
      </w:r>
      <w:r w:rsidRPr="009B7F14">
        <w:t>submit</w:t>
      </w:r>
      <w:r w:rsidR="00295ECD" w:rsidRPr="009B7F14">
        <w:t xml:space="preserve">ted </w:t>
      </w:r>
      <w:r w:rsidR="00FB50AD" w:rsidRPr="009B7F14">
        <w:t xml:space="preserve">alongside the </w:t>
      </w:r>
      <w:r w:rsidR="009710DB" w:rsidRPr="009B7F14">
        <w:t xml:space="preserve">individual </w:t>
      </w:r>
      <w:r w:rsidR="003E0A42" w:rsidRPr="009B7F14">
        <w:t>financial report</w:t>
      </w:r>
      <w:r w:rsidR="00295ECD" w:rsidRPr="009B7F14">
        <w:t>.</w:t>
      </w:r>
      <w:r w:rsidR="00886AE6" w:rsidRPr="009B7F14">
        <w:t xml:space="preserve"> </w:t>
      </w:r>
      <w:r w:rsidR="009710DB" w:rsidRPr="009B7F14">
        <w:t>This is to ensure a proper audit trail to track the use of money. The proof is needed also in case the Programme</w:t>
      </w:r>
      <w:r w:rsidR="00FB50AD" w:rsidRPr="009B7F14">
        <w:t>/</w:t>
      </w:r>
      <w:r w:rsidR="00AD2215" w:rsidRPr="009B7F14">
        <w:t>project</w:t>
      </w:r>
      <w:r w:rsidR="00FB50AD" w:rsidRPr="009B7F14">
        <w:t>(</w:t>
      </w:r>
      <w:r w:rsidR="00AD2215" w:rsidRPr="009B7F14">
        <w:t>s</w:t>
      </w:r>
      <w:r w:rsidR="00FB50AD" w:rsidRPr="009B7F14">
        <w:t>)</w:t>
      </w:r>
      <w:r w:rsidR="00AD2215" w:rsidRPr="009B7F14">
        <w:t xml:space="preserve"> are</w:t>
      </w:r>
      <w:r w:rsidR="009710DB" w:rsidRPr="009B7F14">
        <w:t xml:space="preserve"> audited. </w:t>
      </w:r>
    </w:p>
    <w:p w14:paraId="5E03384E" w14:textId="77777777" w:rsidR="00F47B17" w:rsidRPr="009B7F14" w:rsidRDefault="009710DB" w:rsidP="00376576">
      <w:r w:rsidRPr="009B7F14">
        <w:t>In case of flat</w:t>
      </w:r>
      <w:r w:rsidR="00886AE6" w:rsidRPr="009B7F14">
        <w:t>-rate costs</w:t>
      </w:r>
      <w:r w:rsidR="00561139" w:rsidRPr="009B7F14">
        <w:t xml:space="preserve">, </w:t>
      </w:r>
      <w:r w:rsidR="00CF697B" w:rsidRPr="009B7F14">
        <w:t>lump sums</w:t>
      </w:r>
      <w:r w:rsidR="00853DDD" w:rsidRPr="009B7F14">
        <w:t xml:space="preserve"> and</w:t>
      </w:r>
      <w:r w:rsidR="00561139" w:rsidRPr="009B7F14">
        <w:t xml:space="preserve"> unit costs</w:t>
      </w:r>
      <w:r w:rsidR="00886AE6" w:rsidRPr="009B7F14">
        <w:t xml:space="preserve"> </w:t>
      </w:r>
      <w:r w:rsidRPr="009B7F14">
        <w:t>there is n</w:t>
      </w:r>
      <w:r w:rsidR="00886AE6" w:rsidRPr="009B7F14">
        <w:t xml:space="preserve">o </w:t>
      </w:r>
      <w:r w:rsidRPr="009B7F14">
        <w:t xml:space="preserve">need to </w:t>
      </w:r>
      <w:r w:rsidR="00886AE6" w:rsidRPr="009B7F14">
        <w:t>support</w:t>
      </w:r>
      <w:r w:rsidRPr="009B7F14">
        <w:t xml:space="preserve"> the costs </w:t>
      </w:r>
      <w:r w:rsidR="00886AE6" w:rsidRPr="009B7F14">
        <w:t>by invoices or accounting documents</w:t>
      </w:r>
      <w:r w:rsidRPr="009B7F14">
        <w:t xml:space="preserve"> (the flat-rate is agreed on in the grant agreement).</w:t>
      </w:r>
      <w:r w:rsidR="00886AE6" w:rsidRPr="009B7F14">
        <w:t xml:space="preserve"> </w:t>
      </w:r>
    </w:p>
    <w:p w14:paraId="3C93F223" w14:textId="77777777" w:rsidR="005D4A0C" w:rsidRPr="009B7F14" w:rsidRDefault="00374C2F" w:rsidP="00920571">
      <w:pPr>
        <w:pStyle w:val="Heading2"/>
      </w:pPr>
      <w:bookmarkStart w:id="64" w:name="_Toc464031655"/>
      <w:bookmarkStart w:id="65" w:name="_Toc484174846"/>
      <w:r w:rsidRPr="009B7F14">
        <w:t>Programme b</w:t>
      </w:r>
      <w:r w:rsidR="005D4A0C" w:rsidRPr="009B7F14">
        <w:t>udget reallocations (</w:t>
      </w:r>
      <w:r w:rsidR="008563A7" w:rsidRPr="009B7F14">
        <w:t xml:space="preserve">Reg. </w:t>
      </w:r>
      <w:r w:rsidR="0087248B" w:rsidRPr="009B7F14">
        <w:t>Art. 6.9</w:t>
      </w:r>
      <w:r w:rsidR="005D4A0C" w:rsidRPr="009B7F14">
        <w:t>)</w:t>
      </w:r>
      <w:bookmarkEnd w:id="64"/>
      <w:bookmarkEnd w:id="65"/>
    </w:p>
    <w:p w14:paraId="12BCEE7A" w14:textId="589DB7AF" w:rsidR="00497B9D" w:rsidRDefault="00497B9D" w:rsidP="00376576">
      <w:r w:rsidRPr="009B7F14">
        <w:t xml:space="preserve">The initial programme budget is as previously explained set in the </w:t>
      </w:r>
      <w:r w:rsidR="000D3A7D">
        <w:t>Concept note</w:t>
      </w:r>
      <w:r w:rsidRPr="009B7F14">
        <w:t xml:space="preserve"> and later agreed in the </w:t>
      </w:r>
      <w:r w:rsidR="0087248B" w:rsidRPr="009B7F14">
        <w:t>PA.</w:t>
      </w:r>
      <w:r w:rsidRPr="009B7F14">
        <w:t xml:space="preserve"> The need to do reallocations between budget headings might emerge during programme implementation to better utilise the</w:t>
      </w:r>
      <w:r w:rsidR="0087248B" w:rsidRPr="009B7F14">
        <w:t xml:space="preserve"> allocation. As stated in </w:t>
      </w:r>
      <w:r w:rsidR="008563A7" w:rsidRPr="009B7F14">
        <w:t xml:space="preserve">Reg. </w:t>
      </w:r>
      <w:r w:rsidR="0087248B" w:rsidRPr="009B7F14">
        <w:t>Art. 6</w:t>
      </w:r>
      <w:r w:rsidRPr="009B7F14">
        <w:t xml:space="preserve">.9.1, “unless otherwise explicitly stipulated in the </w:t>
      </w:r>
      <w:r w:rsidR="00AF054F">
        <w:t>PA</w:t>
      </w:r>
      <w:r w:rsidRPr="009B7F14">
        <w:t xml:space="preserve">, any modification of the programme is subject to prior approval by the </w:t>
      </w:r>
      <w:r w:rsidR="00086B18">
        <w:t>FMC/NMFA”</w:t>
      </w:r>
      <w:r w:rsidRPr="009B7F14">
        <w:t xml:space="preserve">. </w:t>
      </w:r>
    </w:p>
    <w:p w14:paraId="751575EA" w14:textId="77777777" w:rsidR="005765FD" w:rsidRDefault="00ED13FE" w:rsidP="00376576">
      <w:r>
        <w:rPr>
          <w:noProof/>
          <w:lang w:eastAsia="en-GB"/>
        </w:rPr>
        <mc:AlternateContent>
          <mc:Choice Requires="wps">
            <w:drawing>
              <wp:anchor distT="0" distB="0" distL="114300" distR="114300" simplePos="0" relativeHeight="251731968" behindDoc="0" locked="0" layoutInCell="1" allowOverlap="1" wp14:anchorId="0E4AE80A" wp14:editId="6AB4890B">
                <wp:simplePos x="0" y="0"/>
                <wp:positionH relativeFrom="column">
                  <wp:posOffset>3057525</wp:posOffset>
                </wp:positionH>
                <wp:positionV relativeFrom="paragraph">
                  <wp:posOffset>17145</wp:posOffset>
                </wp:positionV>
                <wp:extent cx="2657475" cy="1466850"/>
                <wp:effectExtent l="0" t="0" r="28575" b="19050"/>
                <wp:wrapSquare wrapText="bothSides"/>
                <wp:docPr id="23" name="Rectangle 23"/>
                <wp:cNvGraphicFramePr/>
                <a:graphic xmlns:a="http://schemas.openxmlformats.org/drawingml/2006/main">
                  <a:graphicData uri="http://schemas.microsoft.com/office/word/2010/wordprocessingShape">
                    <wps:wsp>
                      <wps:cNvSpPr/>
                      <wps:spPr>
                        <a:xfrm>
                          <a:off x="0" y="0"/>
                          <a:ext cx="2657475" cy="1466850"/>
                        </a:xfrm>
                        <a:prstGeom prst="rect">
                          <a:avLst/>
                        </a:prstGeom>
                        <a:ln/>
                      </wps:spPr>
                      <wps:style>
                        <a:lnRef idx="2">
                          <a:schemeClr val="dk1"/>
                        </a:lnRef>
                        <a:fillRef idx="1">
                          <a:schemeClr val="lt1"/>
                        </a:fillRef>
                        <a:effectRef idx="0">
                          <a:schemeClr val="dk1"/>
                        </a:effectRef>
                        <a:fontRef idx="minor">
                          <a:schemeClr val="dk1"/>
                        </a:fontRef>
                      </wps:style>
                      <wps:txbx>
                        <w:txbxContent>
                          <w:p w14:paraId="37B93924" w14:textId="77777777" w:rsidR="00A87AB3" w:rsidRPr="00ED13FE" w:rsidRDefault="00A87AB3" w:rsidP="00681E7B">
                            <w:pPr>
                              <w:rPr>
                                <w:b/>
                                <w:sz w:val="18"/>
                              </w:rPr>
                            </w:pPr>
                            <w:r w:rsidRPr="00ED13FE">
                              <w:rPr>
                                <w:b/>
                                <w:sz w:val="18"/>
                              </w:rPr>
                              <w:t xml:space="preserve">Example: </w:t>
                            </w:r>
                          </w:p>
                          <w:p w14:paraId="57D1FE68" w14:textId="15401E62" w:rsidR="00A87AB3" w:rsidRPr="00ED13FE" w:rsidRDefault="00A87AB3" w:rsidP="00681E7B">
                            <w:pPr>
                              <w:rPr>
                                <w:sz w:val="18"/>
                              </w:rPr>
                            </w:pPr>
                            <w:r w:rsidRPr="00ED13FE">
                              <w:rPr>
                                <w:sz w:val="18"/>
                              </w:rPr>
                              <w:t xml:space="preserve">If the request is to shift </w:t>
                            </w:r>
                            <w:r>
                              <w:rPr>
                                <w:sz w:val="18"/>
                              </w:rPr>
                              <w:t xml:space="preserve">€ </w:t>
                            </w:r>
                            <w:r w:rsidRPr="00ED13FE">
                              <w:rPr>
                                <w:sz w:val="18"/>
                              </w:rPr>
                              <w:t>200,000 from one outcome to another with no changes to the indicators, the approval could be expected to be fairly quick. The main reason for requesting a modification in this case is that the FMO will then know what the actual programme budget is.</w:t>
                            </w:r>
                          </w:p>
                          <w:p w14:paraId="2E19BDF0" w14:textId="77777777" w:rsidR="00A87AB3" w:rsidRPr="00ED13FE" w:rsidRDefault="00A87AB3" w:rsidP="00681E7B">
                            <w:pPr>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AE80A" id="Rectangle 23" o:spid="_x0000_s1049" style="position:absolute;left:0;text-align:left;margin-left:240.75pt;margin-top:1.35pt;width:209.25pt;height:1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" fillcolor="white [3201]" strokecolor="black [3200]" strokeweight="1pt">
                <v:textbox>
                  <w:txbxContent>
                    <w:p w14:paraId="37B93924" w14:textId="77777777" w:rsidR="00A87AB3" w:rsidRPr="00ED13FE" w:rsidRDefault="00A87AB3" w:rsidP="00681E7B">
                      <w:pPr>
                        <w:rPr>
                          <w:b/>
                          <w:sz w:val="18"/>
                        </w:rPr>
                      </w:pPr>
                      <w:r w:rsidRPr="00ED13FE">
                        <w:rPr>
                          <w:b/>
                          <w:sz w:val="18"/>
                        </w:rPr>
                        <w:t xml:space="preserve">Example: </w:t>
                      </w:r>
                    </w:p>
                    <w:p w14:paraId="57D1FE68" w14:textId="15401E62" w:rsidR="00A87AB3" w:rsidRPr="00ED13FE" w:rsidRDefault="00A87AB3" w:rsidP="00681E7B">
                      <w:pPr>
                        <w:rPr>
                          <w:sz w:val="18"/>
                        </w:rPr>
                      </w:pPr>
                      <w:r w:rsidRPr="00ED13FE">
                        <w:rPr>
                          <w:sz w:val="18"/>
                        </w:rPr>
                        <w:t xml:space="preserve">If the request is to shift </w:t>
                      </w:r>
                      <w:r>
                        <w:rPr>
                          <w:sz w:val="18"/>
                        </w:rPr>
                        <w:t xml:space="preserve">€ </w:t>
                      </w:r>
                      <w:r w:rsidRPr="00ED13FE">
                        <w:rPr>
                          <w:sz w:val="18"/>
                        </w:rPr>
                        <w:t>200,000 from one outcome to another with no changes to the indicators, the approval could be expected to be fairly quick. The main reason for requesting a modification in this case is that the FMO will then know what the actual programme budget is.</w:t>
                      </w:r>
                    </w:p>
                    <w:p w14:paraId="2E19BDF0" w14:textId="77777777" w:rsidR="00A87AB3" w:rsidRPr="00ED13FE" w:rsidRDefault="00A87AB3" w:rsidP="00681E7B">
                      <w:pPr>
                        <w:jc w:val="center"/>
                        <w:rPr>
                          <w:sz w:val="18"/>
                        </w:rPr>
                      </w:pPr>
                    </w:p>
                  </w:txbxContent>
                </v:textbox>
                <w10:wrap type="square"/>
              </v:rect>
            </w:pict>
          </mc:Fallback>
        </mc:AlternateContent>
      </w:r>
      <w:r w:rsidR="00F36B6D">
        <w:t>In practice modifications to the programme budget which does not negatively affect the outcome, outputs and their related indicators would in most cases be subjec</w:t>
      </w:r>
      <w:r w:rsidR="006C4D8D">
        <w:t xml:space="preserve">t to a swift approval process. </w:t>
      </w:r>
      <w:r w:rsidR="00F36B6D">
        <w:t xml:space="preserve">On the other hand, modifications which are expected to have a considerable impact on the programme will normally require a more complex and time-consuming process of approval. </w:t>
      </w:r>
    </w:p>
    <w:p w14:paraId="535989AB" w14:textId="77777777" w:rsidR="005D4A0C" w:rsidRPr="009B7F14" w:rsidRDefault="005D4A0C" w:rsidP="00920571">
      <w:pPr>
        <w:pStyle w:val="Heading2"/>
      </w:pPr>
      <w:bookmarkStart w:id="66" w:name="_Toc484174847"/>
      <w:r w:rsidRPr="009B7F14">
        <w:t>Interest Earn</w:t>
      </w:r>
      <w:r w:rsidR="008915AC" w:rsidRPr="009B7F14">
        <w:t>ed (</w:t>
      </w:r>
      <w:r w:rsidR="008563A7" w:rsidRPr="009B7F14">
        <w:t xml:space="preserve">Reg. </w:t>
      </w:r>
      <w:r w:rsidR="008915AC" w:rsidRPr="009B7F14">
        <w:t>Art. 9</w:t>
      </w:r>
      <w:r w:rsidRPr="009B7F14">
        <w:t>.7)</w:t>
      </w:r>
      <w:bookmarkEnd w:id="66"/>
    </w:p>
    <w:p w14:paraId="2D03421C" w14:textId="77777777" w:rsidR="008C48A6" w:rsidRPr="009B7F14" w:rsidRDefault="0058072A" w:rsidP="00376576">
      <w:r w:rsidRPr="009B7F14">
        <w:t xml:space="preserve">Any interest earned on the following accounts shall be regarded as a resource for the </w:t>
      </w:r>
      <w:r w:rsidR="00236DF9" w:rsidRPr="009B7F14">
        <w:t>FMO</w:t>
      </w:r>
      <w:r w:rsidRPr="009B7F14">
        <w:t xml:space="preserve"> and needs to be declared annually: </w:t>
      </w:r>
    </w:p>
    <w:p w14:paraId="710BEF9B" w14:textId="5FAC1832" w:rsidR="0058072A" w:rsidRPr="009B7F14" w:rsidRDefault="000D3A7D" w:rsidP="009F01EE">
      <w:pPr>
        <w:pStyle w:val="ListParagraph"/>
        <w:numPr>
          <w:ilvl w:val="0"/>
          <w:numId w:val="11"/>
        </w:numPr>
      </w:pPr>
      <w:r>
        <w:t>A</w:t>
      </w:r>
      <w:r w:rsidR="0058072A" w:rsidRPr="009B7F14">
        <w:t xml:space="preserve">ccounts held in </w:t>
      </w:r>
      <w:r w:rsidR="003769CF" w:rsidRPr="009B7F14">
        <w:t xml:space="preserve">the </w:t>
      </w:r>
      <w:r w:rsidR="0058072A" w:rsidRPr="009B7F14">
        <w:t xml:space="preserve">Beneficiary State on which funds from the </w:t>
      </w:r>
      <w:r w:rsidR="00236DF9" w:rsidRPr="009B7F14">
        <w:t>FMO</w:t>
      </w:r>
      <w:r w:rsidR="0058072A" w:rsidRPr="009B7F14">
        <w:t xml:space="preserve"> are kept until they are transferred to the </w:t>
      </w:r>
      <w:r w:rsidR="008915AC" w:rsidRPr="009B7F14">
        <w:t>PO</w:t>
      </w:r>
    </w:p>
    <w:p w14:paraId="71F3F96D" w14:textId="77777777" w:rsidR="0058072A" w:rsidRPr="009B7F14" w:rsidRDefault="000D3A7D" w:rsidP="009F01EE">
      <w:pPr>
        <w:pStyle w:val="ListParagraph"/>
        <w:numPr>
          <w:ilvl w:val="0"/>
          <w:numId w:val="11"/>
        </w:numPr>
      </w:pPr>
      <w:r>
        <w:t>A</w:t>
      </w:r>
      <w:r w:rsidR="0058072A" w:rsidRPr="009B7F14">
        <w:t xml:space="preserve">ccounts established by the </w:t>
      </w:r>
      <w:r w:rsidR="008915AC" w:rsidRPr="009B7F14">
        <w:t>PO</w:t>
      </w:r>
      <w:r w:rsidR="0058072A" w:rsidRPr="009B7F14">
        <w:t xml:space="preserve"> for funds intended for re</w:t>
      </w:r>
      <w:r w:rsidR="00386D12" w:rsidRPr="009B7F14">
        <w:t>-</w:t>
      </w:r>
      <w:r w:rsidR="0058072A" w:rsidRPr="009B7F14">
        <w:t>granting</w:t>
      </w:r>
      <w:r w:rsidR="008915AC" w:rsidRPr="009B7F14">
        <w:t xml:space="preserve"> (</w:t>
      </w:r>
      <w:r w:rsidR="008563A7" w:rsidRPr="009B7F14">
        <w:t xml:space="preserve">Reg. Art. </w:t>
      </w:r>
      <w:r w:rsidR="008915AC" w:rsidRPr="009B7F14">
        <w:t xml:space="preserve"> 5.6</w:t>
      </w:r>
      <w:r w:rsidR="002F2F55" w:rsidRPr="009B7F14">
        <w:t>.1 (</w:t>
      </w:r>
      <w:r w:rsidR="00BF2847" w:rsidRPr="009B7F14">
        <w:t>m</w:t>
      </w:r>
      <w:r w:rsidR="002F2F55" w:rsidRPr="009B7F14">
        <w:t>)</w:t>
      </w:r>
      <w:r w:rsidR="00892A82" w:rsidRPr="009B7F14">
        <w:t>)</w:t>
      </w:r>
    </w:p>
    <w:p w14:paraId="37B4CEFF" w14:textId="39D54101" w:rsidR="00892A82" w:rsidRPr="009B7F14" w:rsidRDefault="00234E0D" w:rsidP="00376576">
      <w:r w:rsidRPr="009B7F14">
        <w:t xml:space="preserve">The </w:t>
      </w:r>
      <w:r w:rsidR="00892A82" w:rsidRPr="009B7F14">
        <w:t>C</w:t>
      </w:r>
      <w:r w:rsidR="008915AC" w:rsidRPr="009B7F14">
        <w:t>A</w:t>
      </w:r>
      <w:r w:rsidR="00892A82" w:rsidRPr="009B7F14">
        <w:t xml:space="preserve"> shall annually declare any interest earned as part of the </w:t>
      </w:r>
      <w:r w:rsidR="00465979" w:rsidRPr="009B7F14">
        <w:t>I</w:t>
      </w:r>
      <w:r w:rsidR="00881B10" w:rsidRPr="009B7F14">
        <w:t>F</w:t>
      </w:r>
      <w:r w:rsidR="00465979" w:rsidRPr="009B7F14">
        <w:t>R</w:t>
      </w:r>
      <w:r w:rsidR="00881B10" w:rsidRPr="009B7F14">
        <w:t xml:space="preserve"> </w:t>
      </w:r>
      <w:r w:rsidR="00892A82" w:rsidRPr="009B7F14">
        <w:t>after verifying the correctness of the declared intere</w:t>
      </w:r>
      <w:r w:rsidR="0068036E" w:rsidRPr="009B7F14">
        <w:t xml:space="preserve">st. </w:t>
      </w:r>
      <w:r w:rsidR="00892A82" w:rsidRPr="009B7F14">
        <w:t xml:space="preserve">In the final balance the total interest earned until the date of the </w:t>
      </w:r>
      <w:r w:rsidR="007A1507">
        <w:t>FPR</w:t>
      </w:r>
      <w:r w:rsidR="00892A82" w:rsidRPr="009B7F14">
        <w:t xml:space="preserve"> is reported and calculated as one part of </w:t>
      </w:r>
      <w:r w:rsidR="0059705F" w:rsidRPr="009B7F14">
        <w:t xml:space="preserve">the </w:t>
      </w:r>
      <w:r w:rsidR="008915AC" w:rsidRPr="009B7F14">
        <w:t>F</w:t>
      </w:r>
      <w:r w:rsidR="00B74F6C" w:rsidRPr="009B7F14">
        <w:t xml:space="preserve">inal </w:t>
      </w:r>
      <w:r w:rsidR="008915AC" w:rsidRPr="009B7F14">
        <w:t>B</w:t>
      </w:r>
      <w:r w:rsidR="0059705F" w:rsidRPr="009B7F14">
        <w:t xml:space="preserve">alance (see </w:t>
      </w:r>
      <w:r w:rsidR="008563A7" w:rsidRPr="009B7F14">
        <w:fldChar w:fldCharType="begin"/>
      </w:r>
      <w:r w:rsidR="008563A7" w:rsidRPr="009B7F14">
        <w:instrText xml:space="preserve"> REF _Ref461630088 \n \h </w:instrText>
      </w:r>
      <w:r w:rsidR="00376576" w:rsidRPr="009B7F14">
        <w:instrText xml:space="preserve"> \* MERGEFORMAT </w:instrText>
      </w:r>
      <w:r w:rsidR="008563A7" w:rsidRPr="009B7F14">
        <w:fldChar w:fldCharType="separate"/>
      </w:r>
      <w:r w:rsidR="00215E29">
        <w:t>4.1</w:t>
      </w:r>
      <w:r w:rsidR="008563A7" w:rsidRPr="009B7F14">
        <w:fldChar w:fldCharType="end"/>
      </w:r>
      <w:r w:rsidR="0080437A" w:rsidRPr="009B7F14">
        <w:t xml:space="preserve"> </w:t>
      </w:r>
      <w:r w:rsidR="0059705F" w:rsidRPr="009B7F14">
        <w:t>Final balance).</w:t>
      </w:r>
    </w:p>
    <w:p w14:paraId="2E75E4FB" w14:textId="77777777" w:rsidR="0059705F" w:rsidRPr="009B7F14" w:rsidRDefault="0059705F" w:rsidP="00376576">
      <w:r w:rsidRPr="009B7F14">
        <w:t xml:space="preserve">Beneficiary States who have not adopted the euro as their currency and use accounts held in national currency shall convert the interest earned into euros using the average of the monthly accounting exchange rates of the European Commission. </w:t>
      </w:r>
    </w:p>
    <w:p w14:paraId="7BDE2A93" w14:textId="77777777" w:rsidR="005D4A0C" w:rsidRPr="009B7F14" w:rsidRDefault="005D4A0C" w:rsidP="00920571">
      <w:pPr>
        <w:pStyle w:val="Heading2"/>
      </w:pPr>
      <w:bookmarkStart w:id="67" w:name="_Toc484174848"/>
      <w:r w:rsidRPr="009B7F14">
        <w:t>Forecast of lik</w:t>
      </w:r>
      <w:r w:rsidR="00C364E4" w:rsidRPr="009B7F14">
        <w:t>ely payment applications (</w:t>
      </w:r>
      <w:r w:rsidR="008563A7" w:rsidRPr="009B7F14">
        <w:t xml:space="preserve">Reg. </w:t>
      </w:r>
      <w:r w:rsidR="00C364E4" w:rsidRPr="009B7F14">
        <w:t>Art. 9</w:t>
      </w:r>
      <w:r w:rsidRPr="009B7F14">
        <w:t>.5)</w:t>
      </w:r>
      <w:bookmarkEnd w:id="67"/>
    </w:p>
    <w:p w14:paraId="15144EDA" w14:textId="77777777" w:rsidR="009229B6" w:rsidRPr="009B7F14" w:rsidRDefault="009229B6" w:rsidP="00E74DEC">
      <w:pPr>
        <w:keepNext/>
        <w:keepLines/>
      </w:pPr>
      <w:r w:rsidRPr="009B7F14">
        <w:rPr>
          <w:lang w:val="is-IS"/>
        </w:rPr>
        <w:t xml:space="preserve">Forecast of likely payment applications shall be submitted to the FMO four times a year according to </w:t>
      </w:r>
      <w:r w:rsidR="00EA6998" w:rsidRPr="009B7F14">
        <w:rPr>
          <w:lang w:val="is-IS"/>
        </w:rPr>
        <w:t xml:space="preserve">Reg. </w:t>
      </w:r>
      <w:r w:rsidRPr="009B7F14">
        <w:rPr>
          <w:lang w:val="is-IS"/>
        </w:rPr>
        <w:t>Art</w:t>
      </w:r>
      <w:r w:rsidR="00C364E4" w:rsidRPr="009B7F14">
        <w:rPr>
          <w:lang w:val="is-IS"/>
        </w:rPr>
        <w:t>.</w:t>
      </w:r>
      <w:r w:rsidRPr="009B7F14">
        <w:rPr>
          <w:lang w:val="is-IS"/>
        </w:rPr>
        <w:t xml:space="preserve"> </w:t>
      </w:r>
      <w:r w:rsidR="00C364E4" w:rsidRPr="009B7F14">
        <w:rPr>
          <w:lang w:val="is-IS"/>
        </w:rPr>
        <w:t>9</w:t>
      </w:r>
      <w:r w:rsidR="00EA6998" w:rsidRPr="009B7F14">
        <w:rPr>
          <w:lang w:val="is-IS"/>
        </w:rPr>
        <w:t>.5</w:t>
      </w:r>
      <w:r w:rsidRPr="009B7F14">
        <w:rPr>
          <w:lang w:val="is-IS"/>
        </w:rPr>
        <w:t>.  The updated forecast shall be su</w:t>
      </w:r>
      <w:r w:rsidR="00C364E4" w:rsidRPr="009B7F14">
        <w:rPr>
          <w:lang w:val="is-IS"/>
        </w:rPr>
        <w:t>b</w:t>
      </w:r>
      <w:r w:rsidRPr="009B7F14">
        <w:rPr>
          <w:lang w:val="is-IS"/>
        </w:rPr>
        <w:t xml:space="preserve">mitted to FMO </w:t>
      </w:r>
      <w:r w:rsidR="00C364E4" w:rsidRPr="009B7F14">
        <w:rPr>
          <w:lang w:val="is-IS"/>
        </w:rPr>
        <w:t>at the latest b</w:t>
      </w:r>
      <w:r w:rsidR="00C364E4" w:rsidRPr="009B7F14">
        <w:t>y 2</w:t>
      </w:r>
      <w:r w:rsidRPr="009B7F14">
        <w:t xml:space="preserve">0 February, 20 </w:t>
      </w:r>
      <w:r w:rsidR="00C364E4" w:rsidRPr="009B7F14">
        <w:t>April</w:t>
      </w:r>
      <w:r w:rsidRPr="009B7F14">
        <w:t>, 2</w:t>
      </w:r>
      <w:r w:rsidR="00C364E4" w:rsidRPr="009B7F14">
        <w:t>0</w:t>
      </w:r>
      <w:r w:rsidRPr="009B7F14">
        <w:t xml:space="preserve"> </w:t>
      </w:r>
      <w:r w:rsidR="00C364E4" w:rsidRPr="009B7F14">
        <w:t>September</w:t>
      </w:r>
      <w:r w:rsidRPr="009B7F14">
        <w:t xml:space="preserve"> and </w:t>
      </w:r>
      <w:r w:rsidR="00C364E4" w:rsidRPr="009B7F14">
        <w:t>2</w:t>
      </w:r>
      <w:r w:rsidRPr="009B7F14">
        <w:t xml:space="preserve">0 November each year. The </w:t>
      </w:r>
      <w:r w:rsidR="008915AC" w:rsidRPr="009B7F14">
        <w:t>CA</w:t>
      </w:r>
      <w:r w:rsidRPr="009B7F14">
        <w:t xml:space="preserve"> shall send to the FMO, in a format provided by the FMO (Annex </w:t>
      </w:r>
      <w:r w:rsidR="00FB5985" w:rsidRPr="009B7F14">
        <w:t>8</w:t>
      </w:r>
      <w:r w:rsidRPr="009B7F14">
        <w:t xml:space="preserve"> of the Regulation), a justified forecast of likely payment applications from the Beneficiary State. One of the responsibilities of the P</w:t>
      </w:r>
      <w:r w:rsidR="00881B10" w:rsidRPr="009B7F14">
        <w:t>O</w:t>
      </w:r>
      <w:r w:rsidR="00C364E4" w:rsidRPr="009B7F14">
        <w:t xml:space="preserve">, according to </w:t>
      </w:r>
      <w:r w:rsidR="008563A7" w:rsidRPr="009B7F14">
        <w:t xml:space="preserve">Reg. </w:t>
      </w:r>
      <w:r w:rsidR="00C364E4" w:rsidRPr="009B7F14">
        <w:t>Art. 5.6</w:t>
      </w:r>
      <w:r w:rsidR="00464D5F" w:rsidRPr="009B7F14">
        <w:t xml:space="preserve">.1 </w:t>
      </w:r>
      <w:proofErr w:type="gramStart"/>
      <w:r w:rsidR="00464D5F" w:rsidRPr="009B7F14">
        <w:t>(r)</w:t>
      </w:r>
      <w:proofErr w:type="gramEnd"/>
      <w:r w:rsidRPr="009B7F14">
        <w:t xml:space="preserve"> is to submit the updated forecast applications to the </w:t>
      </w:r>
      <w:r w:rsidR="00284FB3" w:rsidRPr="009B7F14">
        <w:t>CA</w:t>
      </w:r>
      <w:r w:rsidRPr="009B7F14">
        <w:t xml:space="preserve"> a</w:t>
      </w:r>
      <w:r w:rsidR="003769CF" w:rsidRPr="009B7F14">
        <w:t>s this is</w:t>
      </w:r>
      <w:r w:rsidRPr="009B7F14">
        <w:t xml:space="preserve"> necessary for the </w:t>
      </w:r>
      <w:r w:rsidR="008915AC" w:rsidRPr="009B7F14">
        <w:t>CA</w:t>
      </w:r>
      <w:r w:rsidRPr="009B7F14">
        <w:t xml:space="preserve"> to fulfil its obligations in accordance with </w:t>
      </w:r>
      <w:r w:rsidR="008563A7" w:rsidRPr="009B7F14">
        <w:t xml:space="preserve">Reg. </w:t>
      </w:r>
      <w:r w:rsidRPr="009B7F14">
        <w:t>Art</w:t>
      </w:r>
      <w:r w:rsidR="008563A7" w:rsidRPr="009B7F14">
        <w:t>.</w:t>
      </w:r>
      <w:r w:rsidRPr="009B7F14">
        <w:t xml:space="preserve"> </w:t>
      </w:r>
      <w:r w:rsidR="00C364E4" w:rsidRPr="009B7F14">
        <w:t>9</w:t>
      </w:r>
      <w:r w:rsidRPr="009B7F14">
        <w:t xml:space="preserve">.5. </w:t>
      </w:r>
    </w:p>
    <w:p w14:paraId="4721C801" w14:textId="77777777" w:rsidR="009229B6" w:rsidRPr="009B7F14" w:rsidRDefault="009229B6" w:rsidP="00376576">
      <w:r w:rsidRPr="009B7F14">
        <w:t>For the processing and submission of the forecast to FMO</w:t>
      </w:r>
      <w:r w:rsidR="0068036E" w:rsidRPr="009B7F14">
        <w:t>, the following points should be adhered to</w:t>
      </w:r>
      <w:r w:rsidRPr="009B7F14">
        <w:t>:</w:t>
      </w:r>
    </w:p>
    <w:p w14:paraId="76029ACA" w14:textId="0F8B4EFC" w:rsidR="009229B6" w:rsidRPr="009B7F14" w:rsidRDefault="009229B6" w:rsidP="009F01EE">
      <w:pPr>
        <w:pStyle w:val="ListParagraph"/>
        <w:numPr>
          <w:ilvl w:val="0"/>
          <w:numId w:val="12"/>
        </w:numPr>
      </w:pPr>
      <w:r w:rsidRPr="009B7F14">
        <w:t>During the current year the estimated total payment application for that year should be submitted, including a</w:t>
      </w:r>
      <w:r w:rsidR="00254720">
        <w:t>lready paid amounts in the year</w:t>
      </w:r>
    </w:p>
    <w:p w14:paraId="5CF91BB6" w14:textId="3A64C0F2" w:rsidR="009229B6" w:rsidRPr="009B7F14" w:rsidRDefault="009229B6" w:rsidP="009F01EE">
      <w:pPr>
        <w:pStyle w:val="ListParagraph"/>
        <w:numPr>
          <w:ilvl w:val="0"/>
          <w:numId w:val="12"/>
        </w:numPr>
      </w:pPr>
      <w:r w:rsidRPr="009B7F14">
        <w:t>The forecast should include justifications for the forecast e.g. explanations on any</w:t>
      </w:r>
      <w:r w:rsidR="00254720">
        <w:t xml:space="preserve"> changes from previous forecast</w:t>
      </w:r>
    </w:p>
    <w:p w14:paraId="5BA8F759" w14:textId="3FE25587" w:rsidR="009229B6" w:rsidRPr="009B7F14" w:rsidRDefault="009229B6" w:rsidP="009F01EE">
      <w:pPr>
        <w:pStyle w:val="ListParagraph"/>
        <w:numPr>
          <w:ilvl w:val="0"/>
          <w:numId w:val="12"/>
        </w:numPr>
      </w:pPr>
      <w:r w:rsidRPr="009B7F14">
        <w:t>The forecast shall include estimated payment applications for each programme and y</w:t>
      </w:r>
      <w:r w:rsidR="00254720">
        <w:t>ear, including the current year</w:t>
      </w:r>
    </w:p>
    <w:p w14:paraId="7C25F030" w14:textId="0CF9A142" w:rsidR="00BD4365" w:rsidRPr="009B7F14" w:rsidRDefault="009229B6" w:rsidP="009F01EE">
      <w:pPr>
        <w:pStyle w:val="ListParagraph"/>
        <w:numPr>
          <w:ilvl w:val="0"/>
          <w:numId w:val="12"/>
        </w:numPr>
      </w:pPr>
      <w:r w:rsidRPr="009B7F14">
        <w:t>Each forecast should be updated and reviewed carefully as this in</w:t>
      </w:r>
      <w:r w:rsidR="00254720">
        <w:t>put is important for the Donors</w:t>
      </w:r>
    </w:p>
    <w:p w14:paraId="567C5FFE" w14:textId="77777777" w:rsidR="00331D94" w:rsidRPr="009B7F14" w:rsidRDefault="005D4A0C" w:rsidP="00920571">
      <w:pPr>
        <w:pStyle w:val="Heading2"/>
      </w:pPr>
      <w:bookmarkStart w:id="68" w:name="_Toc484174849"/>
      <w:r w:rsidRPr="009B7F14">
        <w:t>DPPs/IPOs participation in programmes/projects</w:t>
      </w:r>
      <w:bookmarkEnd w:id="68"/>
    </w:p>
    <w:p w14:paraId="7C7B652B" w14:textId="7C9077B5" w:rsidR="004137F1" w:rsidRPr="009B7F14" w:rsidRDefault="00236DF9" w:rsidP="00376576">
      <w:r w:rsidRPr="009B7F14">
        <w:t xml:space="preserve">DDPs </w:t>
      </w:r>
      <w:r w:rsidR="004137F1" w:rsidRPr="009B7F14">
        <w:t>and International Partner Organisations (IPO</w:t>
      </w:r>
      <w:r w:rsidR="002E78A8" w:rsidRPr="009B7F14">
        <w:t>s</w:t>
      </w:r>
      <w:r w:rsidR="004137F1" w:rsidRPr="009B7F14">
        <w:t xml:space="preserve">) are organisations which are involved </w:t>
      </w:r>
      <w:r w:rsidR="00147D69">
        <w:t xml:space="preserve">in </w:t>
      </w:r>
      <w:r w:rsidR="004137F1" w:rsidRPr="009B7F14">
        <w:t xml:space="preserve">the implementation of the programme, where they will be working in partnership with the PO. The foreseen work is regulated in the </w:t>
      </w:r>
      <w:r w:rsidR="008563A7" w:rsidRPr="009B7F14">
        <w:t xml:space="preserve">Reg. </w:t>
      </w:r>
      <w:r w:rsidR="004137F1" w:rsidRPr="009B7F14">
        <w:t>Art. 4.3</w:t>
      </w:r>
      <w:r w:rsidR="0096714C" w:rsidRPr="009B7F14">
        <w:t>,</w:t>
      </w:r>
      <w:r w:rsidR="008563A7" w:rsidRPr="009B7F14">
        <w:t xml:space="preserve"> </w:t>
      </w:r>
      <w:r w:rsidR="004137F1" w:rsidRPr="009B7F14">
        <w:t>and also in the PA.</w:t>
      </w:r>
    </w:p>
    <w:p w14:paraId="24E510EB" w14:textId="66D176CC" w:rsidR="004137F1" w:rsidRPr="009B7F14" w:rsidRDefault="005E3010" w:rsidP="00376576">
      <w:r w:rsidRPr="009B7F14">
        <w:t>Costs of IPO’s and DPP’s participation in programmes will be</w:t>
      </w:r>
      <w:r w:rsidR="004137F1" w:rsidRPr="009B7F14">
        <w:t xml:space="preserve"> covered from the </w:t>
      </w:r>
      <w:r w:rsidR="004E3490">
        <w:t>Donor S</w:t>
      </w:r>
      <w:r w:rsidR="004137F1" w:rsidRPr="009B7F14">
        <w:t>tates’ costs</w:t>
      </w:r>
      <w:r w:rsidRPr="009B7F14">
        <w:t xml:space="preserve"> as the </w:t>
      </w:r>
      <w:r w:rsidR="004137F1" w:rsidRPr="009B7F14">
        <w:t>FMO will enter into a contract with these organisations to cover their costs</w:t>
      </w:r>
      <w:r w:rsidRPr="009B7F14">
        <w:t>.</w:t>
      </w:r>
      <w:r w:rsidR="004137F1" w:rsidRPr="009B7F14">
        <w:t xml:space="preserve"> </w:t>
      </w:r>
    </w:p>
    <w:p w14:paraId="531E2C0A" w14:textId="478C5120" w:rsidR="00C27F98" w:rsidRPr="009B7F14" w:rsidRDefault="004137F1" w:rsidP="00376576">
      <w:r w:rsidRPr="009B7F14">
        <w:t>The DPPs/IPOs can be eligible for parts of the PO management costs, in particular when it comes activities aimed at strengthening bilateral relations and experience sharing (</w:t>
      </w:r>
      <w:r w:rsidR="008563A7" w:rsidRPr="009B7F14">
        <w:t xml:space="preserve">Reg. </w:t>
      </w:r>
      <w:r w:rsidRPr="009B7F14">
        <w:t xml:space="preserve">Art. 7.10.3 </w:t>
      </w:r>
      <w:r w:rsidR="00464D5F" w:rsidRPr="009B7F14">
        <w:t>(</w:t>
      </w:r>
      <w:r w:rsidRPr="009B7F14">
        <w:t>m</w:t>
      </w:r>
      <w:r w:rsidR="00464D5F" w:rsidRPr="009B7F14">
        <w:t>)</w:t>
      </w:r>
      <w:r w:rsidRPr="009B7F14">
        <w:t>/</w:t>
      </w:r>
      <w:r w:rsidR="00464D5F" w:rsidRPr="009B7F14">
        <w:t>(</w:t>
      </w:r>
      <w:r w:rsidRPr="009B7F14">
        <w:t>n</w:t>
      </w:r>
      <w:r w:rsidR="00464D5F" w:rsidRPr="009B7F14">
        <w:t>)</w:t>
      </w:r>
      <w:r w:rsidRPr="009B7F14">
        <w:t xml:space="preserve">). The DPPs/IPOs will in this case have to provide proof of the expenditures as required by the PO/CA, in-line with </w:t>
      </w:r>
      <w:r w:rsidR="008563A7" w:rsidRPr="009B7F14">
        <w:t xml:space="preserve">Reg. </w:t>
      </w:r>
      <w:r w:rsidR="00464D5F" w:rsidRPr="009B7F14">
        <w:t>Art. 8.12/</w:t>
      </w:r>
      <w:r w:rsidRPr="009B7F14">
        <w:t>13.</w:t>
      </w:r>
      <w:r w:rsidR="00386D12" w:rsidRPr="009B7F14">
        <w:t xml:space="preserve"> Furthermore</w:t>
      </w:r>
      <w:r w:rsidR="005E3010" w:rsidRPr="009B7F14">
        <w:t>, t</w:t>
      </w:r>
      <w:r w:rsidRPr="009B7F14">
        <w:t>he DPPs/IPOs are also eligible applicants under the bilateral fund.</w:t>
      </w:r>
    </w:p>
    <w:p w14:paraId="1F22CFAD" w14:textId="77777777" w:rsidR="004137F1" w:rsidRPr="009B7F14" w:rsidRDefault="004137F1" w:rsidP="00376576">
      <w:r w:rsidRPr="009B7F14">
        <w:t xml:space="preserve">When DPPs/IPOs are involved in projects as </w:t>
      </w:r>
      <w:r w:rsidR="002E78A8" w:rsidRPr="009B7F14">
        <w:t xml:space="preserve">project </w:t>
      </w:r>
      <w:r w:rsidRPr="009B7F14">
        <w:t xml:space="preserve">partners, the covering of the costs will have to come from the project grant. The eligibility of expenditures for projects in </w:t>
      </w:r>
      <w:r w:rsidR="008563A7" w:rsidRPr="009B7F14">
        <w:t xml:space="preserve">Reg. </w:t>
      </w:r>
      <w:r w:rsidR="00464D5F" w:rsidRPr="009B7F14">
        <w:t>Art. 8.3/</w:t>
      </w:r>
      <w:r w:rsidRPr="009B7F14">
        <w:t xml:space="preserve">4 shall be applied, as well as the requirement regarding proof of expenditures in </w:t>
      </w:r>
      <w:r w:rsidR="008563A7" w:rsidRPr="009B7F14">
        <w:t xml:space="preserve">Reg. </w:t>
      </w:r>
      <w:r w:rsidR="00464D5F" w:rsidRPr="009B7F14">
        <w:t>Art. 8.12/</w:t>
      </w:r>
      <w:r w:rsidRPr="009B7F14">
        <w:t>13.</w:t>
      </w:r>
    </w:p>
    <w:p w14:paraId="1585E144" w14:textId="26C5C35F" w:rsidR="00F3740C" w:rsidRPr="009B7F14" w:rsidRDefault="00F3740C" w:rsidP="00920571">
      <w:pPr>
        <w:pStyle w:val="Heading2"/>
      </w:pPr>
      <w:bookmarkStart w:id="69" w:name="_Toc484174850"/>
      <w:r w:rsidRPr="009B7F14">
        <w:t>Audit Strategy (</w:t>
      </w:r>
      <w:r w:rsidR="008563A7" w:rsidRPr="009B7F14">
        <w:t xml:space="preserve">Reg. </w:t>
      </w:r>
      <w:r w:rsidRPr="009B7F14">
        <w:t xml:space="preserve">Art. </w:t>
      </w:r>
      <w:r w:rsidR="00C364E4" w:rsidRPr="009B7F14">
        <w:t>5</w:t>
      </w:r>
      <w:r w:rsidRPr="009B7F14">
        <w:t>.</w:t>
      </w:r>
      <w:r w:rsidR="00C364E4" w:rsidRPr="009B7F14">
        <w:t>5</w:t>
      </w:r>
      <w:r w:rsidRPr="009B7F14">
        <w:t>.</w:t>
      </w:r>
      <w:r w:rsidR="00E47A2C" w:rsidRPr="009B7F14">
        <w:t>1 (d)</w:t>
      </w:r>
      <w:r w:rsidRPr="009B7F14">
        <w:t>)</w:t>
      </w:r>
      <w:bookmarkEnd w:id="69"/>
    </w:p>
    <w:p w14:paraId="75742800" w14:textId="0BE4D933" w:rsidR="00F3740C" w:rsidRPr="009B7F14" w:rsidRDefault="00DB4E41" w:rsidP="00376576">
      <w:pPr>
        <w:autoSpaceDE w:val="0"/>
        <w:autoSpaceDN w:val="0"/>
        <w:adjustRightInd w:val="0"/>
      </w:pPr>
      <w:r w:rsidRPr="009B7F14">
        <w:rPr>
          <w:noProof/>
          <w:lang w:eastAsia="en-GB"/>
        </w:rPr>
        <mc:AlternateContent>
          <mc:Choice Requires="wps">
            <w:drawing>
              <wp:anchor distT="0" distB="0" distL="114300" distR="114300" simplePos="0" relativeHeight="251767808" behindDoc="1" locked="0" layoutInCell="1" allowOverlap="1" wp14:anchorId="16A12DEE" wp14:editId="00D4FA33">
                <wp:simplePos x="0" y="0"/>
                <wp:positionH relativeFrom="margin">
                  <wp:posOffset>2011680</wp:posOffset>
                </wp:positionH>
                <wp:positionV relativeFrom="paragraph">
                  <wp:posOffset>71755</wp:posOffset>
                </wp:positionV>
                <wp:extent cx="3657600" cy="2202180"/>
                <wp:effectExtent l="361950" t="0" r="19050" b="26670"/>
                <wp:wrapTight wrapText="left">
                  <wp:wrapPolygon edited="0">
                    <wp:start x="1350" y="0"/>
                    <wp:lineTo x="-225" y="0"/>
                    <wp:lineTo x="-225" y="2990"/>
                    <wp:lineTo x="-2138" y="2990"/>
                    <wp:lineTo x="-2138" y="8969"/>
                    <wp:lineTo x="-338" y="8969"/>
                    <wp:lineTo x="-225" y="20927"/>
                    <wp:lineTo x="563" y="20927"/>
                    <wp:lineTo x="563" y="21675"/>
                    <wp:lineTo x="1350" y="21675"/>
                    <wp:lineTo x="20363" y="21675"/>
                    <wp:lineTo x="20475" y="21675"/>
                    <wp:lineTo x="21150" y="20927"/>
                    <wp:lineTo x="21600" y="18125"/>
                    <wp:lineTo x="21600" y="2990"/>
                    <wp:lineTo x="20363" y="187"/>
                    <wp:lineTo x="20250" y="0"/>
                    <wp:lineTo x="1350" y="0"/>
                  </wp:wrapPolygon>
                </wp:wrapTight>
                <wp:docPr id="226" name="Rounded Rectangular Callout 226"/>
                <wp:cNvGraphicFramePr/>
                <a:graphic xmlns:a="http://schemas.openxmlformats.org/drawingml/2006/main">
                  <a:graphicData uri="http://schemas.microsoft.com/office/word/2010/wordprocessingShape">
                    <wps:wsp>
                      <wps:cNvSpPr/>
                      <wps:spPr>
                        <a:xfrm>
                          <a:off x="0" y="0"/>
                          <a:ext cx="3657600" cy="2202180"/>
                        </a:xfrm>
                        <a:prstGeom prst="wedgeRoundRectCallout">
                          <a:avLst>
                            <a:gd name="adj1" fmla="val -59375"/>
                            <a:gd name="adj2" fmla="val -23663"/>
                            <a:gd name="adj3" fmla="val 16667"/>
                          </a:avLst>
                        </a:prstGeom>
                      </wps:spPr>
                      <wps:style>
                        <a:lnRef idx="2">
                          <a:schemeClr val="dk1"/>
                        </a:lnRef>
                        <a:fillRef idx="1">
                          <a:schemeClr val="lt1"/>
                        </a:fillRef>
                        <a:effectRef idx="0">
                          <a:schemeClr val="dk1"/>
                        </a:effectRef>
                        <a:fontRef idx="minor">
                          <a:schemeClr val="dk1"/>
                        </a:fontRef>
                      </wps:style>
                      <wps:txbx>
                        <w:txbxContent>
                          <w:p w14:paraId="7BBC4610" w14:textId="12CC7AD5" w:rsidR="00A87AB3" w:rsidRPr="00ED13FE" w:rsidRDefault="00A87AB3" w:rsidP="000428F5">
                            <w:pPr>
                              <w:rPr>
                                <w:color w:val="4472C4" w:themeColor="accent5"/>
                                <w:sz w:val="18"/>
                              </w:rPr>
                            </w:pPr>
                            <w:r w:rsidRPr="00FC1E71">
                              <w:rPr>
                                <w:color w:val="4472C4" w:themeColor="accent5"/>
                                <w:sz w:val="18"/>
                              </w:rPr>
                              <w:t xml:space="preserve">The Audit Authority shall be responsible in particular for preparing within nine months of the approval of the last programme an audit strategy. The audit strategy may cover more than one programme. The audit strategy shall set out the audit methodology, the sampling method for audits on projects and the indicative planning of audits to ensure that audits are spread evenly throughout the programming period. The audit strategy shall be updated annually as appropriate. The Audit Authority shall submit the audit strategy to the FMC in English upon request within one month. The FMC may provide comments </w:t>
                            </w:r>
                            <w:r>
                              <w:rPr>
                                <w:color w:val="4472C4" w:themeColor="accent5"/>
                                <w:sz w:val="18"/>
                              </w:rPr>
                              <w:t>(Reg. Art. 5.5.1 (d)</w:t>
                            </w:r>
                            <w:r w:rsidRPr="00ED13FE">
                              <w:rPr>
                                <w:color w:val="4472C4" w:themeColor="accent5"/>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12DEE" id="Rounded Rectangular Callout 226" o:spid="_x0000_s1050" type="#_x0000_t62" style="position:absolute;left:0;text-align:left;margin-left:158.4pt;margin-top:5.65pt;width:4in;height:173.4pt;z-index:-25154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" adj="-2025,5689" fillcolor="white [3201]" strokecolor="black [3200]" strokeweight="1pt">
                <v:textbox>
                  <w:txbxContent>
                    <w:p w14:paraId="7BBC4610" w14:textId="12CC7AD5" w:rsidR="00A87AB3" w:rsidRPr="00ED13FE" w:rsidRDefault="00A87AB3" w:rsidP="000428F5">
                      <w:pPr>
                        <w:rPr>
                          <w:color w:val="4472C4" w:themeColor="accent5"/>
                          <w:sz w:val="18"/>
                        </w:rPr>
                      </w:pPr>
                      <w:r w:rsidRPr="00FC1E71">
                        <w:rPr>
                          <w:color w:val="4472C4" w:themeColor="accent5"/>
                          <w:sz w:val="18"/>
                        </w:rPr>
                        <w:t xml:space="preserve">The Audit Authority shall be responsible in particular for preparing within nine months of the approval of the last programme an audit strategy. The audit strategy may cover more than one programme. The audit strategy shall set out the audit methodology, the sampling method for audits on projects and the indicative planning of audits to ensure that audits are spread evenly throughout the programming period. The audit strategy shall be updated annually as appropriate. The Audit Authority shall submit the audit strategy to the FMC in English upon request within one month. The FMC may provide comments </w:t>
                      </w:r>
                      <w:r>
                        <w:rPr>
                          <w:color w:val="4472C4" w:themeColor="accent5"/>
                          <w:sz w:val="18"/>
                        </w:rPr>
                        <w:t>(Reg. Art. 5.5.1 (d)</w:t>
                      </w:r>
                      <w:r w:rsidRPr="00ED13FE">
                        <w:rPr>
                          <w:color w:val="4472C4" w:themeColor="accent5"/>
                          <w:sz w:val="18"/>
                        </w:rPr>
                        <w:t>)</w:t>
                      </w:r>
                    </w:p>
                  </w:txbxContent>
                </v:textbox>
                <w10:wrap type="tight" side="left" anchorx="margin"/>
              </v:shape>
            </w:pict>
          </mc:Fallback>
        </mc:AlternateContent>
      </w:r>
      <w:r w:rsidR="00F3740C" w:rsidRPr="009B7F14">
        <w:t>The Audit Strategy should</w:t>
      </w:r>
      <w:r w:rsidR="005E3010" w:rsidRPr="009B7F14">
        <w:t>, at least,</w:t>
      </w:r>
      <w:r w:rsidR="00F3740C" w:rsidRPr="009B7F14">
        <w:t xml:space="preserve"> include the elements</w:t>
      </w:r>
      <w:r w:rsidR="005E3010" w:rsidRPr="009B7F14">
        <w:t xml:space="preserve"> described in the subsection</w:t>
      </w:r>
      <w:r w:rsidR="006C4D8D">
        <w:t>s</w:t>
      </w:r>
      <w:r w:rsidR="005E3010" w:rsidRPr="009B7F14">
        <w:t xml:space="preserve"> below</w:t>
      </w:r>
      <w:r w:rsidR="006C4D8D">
        <w:t>.</w:t>
      </w:r>
    </w:p>
    <w:p w14:paraId="042F7660" w14:textId="373EA26B" w:rsidR="00A32CE9" w:rsidRPr="009B7F14" w:rsidRDefault="005E3010" w:rsidP="00920571">
      <w:pPr>
        <w:pStyle w:val="Heading3"/>
        <w:rPr>
          <w:rFonts w:cs="Times New Roman"/>
          <w:color w:val="000000"/>
        </w:rPr>
      </w:pPr>
      <w:r w:rsidRPr="009F01EE">
        <w:t>Mandate</w:t>
      </w:r>
    </w:p>
    <w:p w14:paraId="2BDCE36B" w14:textId="50A90E8E" w:rsidR="00F3740C" w:rsidRPr="009B7F14" w:rsidRDefault="00F3740C" w:rsidP="00376576">
      <w:pPr>
        <w:autoSpaceDE w:val="0"/>
        <w:autoSpaceDN w:val="0"/>
        <w:adjustRightInd w:val="0"/>
      </w:pPr>
      <w:r w:rsidRPr="009B7F14">
        <w:t xml:space="preserve">The AA should have a clear mandate to perform the audit function in accordance with </w:t>
      </w:r>
      <w:r w:rsidR="000660FF" w:rsidRPr="009B7F14">
        <w:t>Reg. Art.</w:t>
      </w:r>
      <w:r w:rsidR="00310C79" w:rsidRPr="009B7F14">
        <w:t xml:space="preserve"> 5.5</w:t>
      </w:r>
      <w:r w:rsidRPr="009B7F14">
        <w:t xml:space="preserve">. This mandate is usually documented in an audit charter if the mandate is not already set out in national legislation. Where an audit charter exists for the audit function as a whole, the mandate specifically related to the function of the AA should be incorporated in that charter and should be formally accepted by the AA. A strong audit charter helps increase the independence of the AA. </w:t>
      </w:r>
    </w:p>
    <w:p w14:paraId="540D4F98" w14:textId="1F2DF3C0" w:rsidR="00A32CE9" w:rsidRPr="009B7F14" w:rsidRDefault="005E3010" w:rsidP="00920571">
      <w:pPr>
        <w:pStyle w:val="Heading3"/>
      </w:pPr>
      <w:r w:rsidRPr="009B7F14">
        <w:t>Independence</w:t>
      </w:r>
    </w:p>
    <w:p w14:paraId="1DB35E40" w14:textId="2A545406" w:rsidR="00F3740C" w:rsidRPr="009B7F14" w:rsidRDefault="00F3740C" w:rsidP="00376576">
      <w:pPr>
        <w:autoSpaceDE w:val="0"/>
        <w:autoSpaceDN w:val="0"/>
        <w:adjustRightInd w:val="0"/>
      </w:pPr>
      <w:r w:rsidRPr="009B7F14">
        <w:t xml:space="preserve">The strategy should include confirmation by the AA that the bodies carrying out audits pursuant to </w:t>
      </w:r>
      <w:r w:rsidR="000660FF" w:rsidRPr="009B7F14">
        <w:t>Reg. Art.</w:t>
      </w:r>
      <w:r w:rsidR="00310C79" w:rsidRPr="009B7F14">
        <w:t xml:space="preserve"> 5.5</w:t>
      </w:r>
      <w:r w:rsidRPr="009B7F14">
        <w:t xml:space="preserve"> have the requisite functional independence. Independence is the freedom from conditions that threaten the ability of the AA to carry out its responsibilities in an unbiased manner. To achieve the degree of independence necessary to effectively carry out its responsibilities, the AA must have direct and unrestricted access to senior management at all levels, including the POs, the NFP and the CA. During all stages of the audit cycle, the AA should ensure that its work is performed in an independent and objective manner, free of conflict of interests with the audited entity. Functional independence implies a sufficient degree of independence to ensure that there is no risk that linkages between different authorities create doubts as to the i</w:t>
      </w:r>
      <w:r w:rsidR="00FC1E71">
        <w:t xml:space="preserve">mpartiality of decisions taken. </w:t>
      </w:r>
      <w:r w:rsidRPr="009B7F14">
        <w:t xml:space="preserve">To ensure that sufficient degree of independence, the MCS should provide for measures such as the AA's staff not involved with </w:t>
      </w:r>
      <w:r w:rsidR="00E25C5F">
        <w:t xml:space="preserve">the </w:t>
      </w:r>
      <w:r w:rsidRPr="009B7F14">
        <w:t xml:space="preserve">POs, </w:t>
      </w:r>
      <w:r w:rsidR="00E25C5F">
        <w:t xml:space="preserve">the </w:t>
      </w:r>
      <w:r w:rsidRPr="009B7F14">
        <w:t xml:space="preserve">NFP or </w:t>
      </w:r>
      <w:r w:rsidR="00E25C5F">
        <w:t xml:space="preserve">the </w:t>
      </w:r>
      <w:r w:rsidRPr="009B7F14">
        <w:t xml:space="preserve">CA functions, </w:t>
      </w:r>
      <w:r w:rsidR="00E25C5F">
        <w:t xml:space="preserve">the </w:t>
      </w:r>
      <w:r w:rsidRPr="009B7F14">
        <w:t xml:space="preserve">AA's autonomy of decision on recruitment of staff, clear job descriptions and clear written arrangements between authorities. It is essential that the AA can express disagreements with the POs, the NFP or the CA and communicate in full independence its audit results to the stakeholders, in particular the </w:t>
      </w:r>
      <w:r w:rsidR="00236DF9" w:rsidRPr="009B7F14">
        <w:t>FMO</w:t>
      </w:r>
      <w:r w:rsidRPr="009B7F14">
        <w:t xml:space="preserve">. The organizational placement and status of the AA may pose a practical constraint or a limit on the scope of the AA work, in particular where the AA is located in the same public body as (some of) the audited entities. In general, the higher the reporting level, the greater the potential scope of engagements that can be undertaken by the AA while remaining independent of the audited entity. At a minimum, the head of the AA needs to report to the hierarchy level within that public body that allows the AA to fulfil its responsibilities; the AA must be free from interference in determining the scope of its audit work, performing work, and communicating results. </w:t>
      </w:r>
    </w:p>
    <w:p w14:paraId="05338389" w14:textId="002828E6" w:rsidR="00F3740C" w:rsidRPr="009B7F14" w:rsidRDefault="00F3740C" w:rsidP="00376576">
      <w:pPr>
        <w:autoSpaceDE w:val="0"/>
        <w:autoSpaceDN w:val="0"/>
        <w:adjustRightInd w:val="0"/>
      </w:pPr>
      <w:r w:rsidRPr="009B7F14">
        <w:t xml:space="preserve">The AA should indicate in the </w:t>
      </w:r>
      <w:r w:rsidR="00277660" w:rsidRPr="009B7F14">
        <w:t>A</w:t>
      </w:r>
      <w:r w:rsidRPr="009B7F14">
        <w:t xml:space="preserve">udit </w:t>
      </w:r>
      <w:r w:rsidR="00277660" w:rsidRPr="009B7F14">
        <w:t>S</w:t>
      </w:r>
      <w:r w:rsidRPr="009B7F14">
        <w:t xml:space="preserve">trategy how the mentioned functional independence is ensured, describing the relations between the AA and the NFP, </w:t>
      </w:r>
      <w:r w:rsidR="00E25C5F">
        <w:t xml:space="preserve">the </w:t>
      </w:r>
      <w:r w:rsidRPr="009B7F14">
        <w:t xml:space="preserve">CA and POs. </w:t>
      </w:r>
    </w:p>
    <w:p w14:paraId="2449E0C9" w14:textId="77777777" w:rsidR="00A32CE9" w:rsidRPr="009B7F14" w:rsidRDefault="005E3010" w:rsidP="00920571">
      <w:pPr>
        <w:pStyle w:val="Heading3"/>
      </w:pPr>
      <w:r w:rsidRPr="009B7F14">
        <w:t>Risk assessment</w:t>
      </w:r>
    </w:p>
    <w:p w14:paraId="41413378" w14:textId="77777777" w:rsidR="00F3740C" w:rsidRPr="009B7F14" w:rsidRDefault="00F3740C" w:rsidP="00376576">
      <w:pPr>
        <w:autoSpaceDE w:val="0"/>
        <w:autoSpaceDN w:val="0"/>
        <w:adjustRightInd w:val="0"/>
      </w:pPr>
      <w:r w:rsidRPr="009B7F14">
        <w:t xml:space="preserve"> The </w:t>
      </w:r>
      <w:r w:rsidR="00277660" w:rsidRPr="009B7F14">
        <w:t>A</w:t>
      </w:r>
      <w:r w:rsidRPr="009B7F14">
        <w:t xml:space="preserve">udit </w:t>
      </w:r>
      <w:r w:rsidR="00277660" w:rsidRPr="009B7F14">
        <w:t>S</w:t>
      </w:r>
      <w:r w:rsidRPr="009B7F14">
        <w:t xml:space="preserve">trategy should include an explanation of the risk assessment method and a reference to internal procedures for updating the risk assessment. When setting up the overall risk assessment method for prioritising the system audit work, the AA should consider the relevant risk factors, set a quantification grid from low to high risk and apply them to all bodies relating to the programme(s) covered by the strategy. Some examples of risk factors which may be considered are the following: amount, management competence, quality of internal controls, degree of change of stability in the control environment, time of last audit engagement, complexity of the organisational structure, type of projects, type of promoters, risk of fraud, etc. As a best practice, the results of the AA's risk assessment are reported in a table where the programmes and the main bodies involved in the MCS are classified by risk level. On the basis of the results of the risk assessment, the AA will be able to prioritize the system audits of programmes and bodies for which the detection risk is higher over the audit period. </w:t>
      </w:r>
    </w:p>
    <w:p w14:paraId="7D606220" w14:textId="77777777" w:rsidR="00A32CE9" w:rsidRPr="009B7F14" w:rsidRDefault="005E3010" w:rsidP="00920571">
      <w:pPr>
        <w:pStyle w:val="Heading3"/>
      </w:pPr>
      <w:r w:rsidRPr="009B7F14">
        <w:t>Methodology</w:t>
      </w:r>
    </w:p>
    <w:p w14:paraId="75A1562A" w14:textId="77777777" w:rsidR="00F3740C" w:rsidRPr="009B7F14" w:rsidRDefault="00F3740C" w:rsidP="00376576">
      <w:pPr>
        <w:autoSpaceDE w:val="0"/>
        <w:autoSpaceDN w:val="0"/>
        <w:adjustRightInd w:val="0"/>
      </w:pPr>
      <w:r w:rsidRPr="009B7F14">
        <w:t xml:space="preserve">With reference to the methodology, the </w:t>
      </w:r>
      <w:r w:rsidR="0093390F" w:rsidRPr="009B7F14">
        <w:t>A</w:t>
      </w:r>
      <w:r w:rsidR="00A32CE9" w:rsidRPr="009B7F14">
        <w:t xml:space="preserve">udit </w:t>
      </w:r>
      <w:r w:rsidR="0093390F" w:rsidRPr="009B7F14">
        <w:t>S</w:t>
      </w:r>
      <w:r w:rsidRPr="009B7F14">
        <w:t xml:space="preserve">trategy should contain at least the following information: </w:t>
      </w:r>
    </w:p>
    <w:p w14:paraId="497382DE" w14:textId="1FB5B44E"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 xml:space="preserve">Reference to audit manuals or procedures containing the description of the main steps of the audit work, including the classification and treatment of the errors detected </w:t>
      </w:r>
    </w:p>
    <w:p w14:paraId="6F7050FE" w14:textId="6E501CAE"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Reference to the internationally accepted audit standards that the AA will tak</w:t>
      </w:r>
      <w:r w:rsidR="00E25C5F">
        <w:rPr>
          <w:rFonts w:cs="Times New Roman"/>
          <w:color w:val="000000"/>
        </w:rPr>
        <w:t>e account of for its audit work</w:t>
      </w:r>
    </w:p>
    <w:p w14:paraId="42E01204" w14:textId="12693560"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 xml:space="preserve">Reference to the procedures in place for drawing up the annual audit report and audit opinion to be submitted to the </w:t>
      </w:r>
      <w:r w:rsidR="00236DF9" w:rsidRPr="009B7F14">
        <w:rPr>
          <w:rFonts w:cs="Times New Roman"/>
          <w:color w:val="000000"/>
        </w:rPr>
        <w:t>FMO</w:t>
      </w:r>
      <w:r w:rsidRPr="009B7F14">
        <w:rPr>
          <w:rFonts w:cs="Times New Roman"/>
          <w:color w:val="000000"/>
        </w:rPr>
        <w:t xml:space="preserve"> </w:t>
      </w:r>
      <w:r w:rsidR="008563A7" w:rsidRPr="009B7F14">
        <w:rPr>
          <w:rFonts w:cs="Times New Roman"/>
          <w:color w:val="000000"/>
        </w:rPr>
        <w:t>(Reg.</w:t>
      </w:r>
      <w:r w:rsidRPr="009B7F14">
        <w:rPr>
          <w:rFonts w:cs="Times New Roman"/>
          <w:color w:val="000000"/>
        </w:rPr>
        <w:t xml:space="preserve"> Art</w:t>
      </w:r>
      <w:r w:rsidR="008563A7" w:rsidRPr="009B7F14">
        <w:rPr>
          <w:rFonts w:cs="Times New Roman"/>
          <w:color w:val="000000"/>
        </w:rPr>
        <w:t>.</w:t>
      </w:r>
      <w:r w:rsidRPr="009B7F14">
        <w:rPr>
          <w:rFonts w:cs="Times New Roman"/>
          <w:color w:val="000000"/>
        </w:rPr>
        <w:t xml:space="preserve"> </w:t>
      </w:r>
      <w:r w:rsidR="008E2D81" w:rsidRPr="009B7F14">
        <w:rPr>
          <w:rFonts w:cs="Times New Roman"/>
          <w:color w:val="000000"/>
        </w:rPr>
        <w:t>5.5.1</w:t>
      </w:r>
      <w:r w:rsidR="008563A7" w:rsidRPr="009B7F14">
        <w:rPr>
          <w:rFonts w:cs="Times New Roman"/>
          <w:color w:val="000000"/>
        </w:rPr>
        <w:t>)</w:t>
      </w:r>
    </w:p>
    <w:p w14:paraId="291FF31B" w14:textId="77777777" w:rsidR="00F3740C" w:rsidRPr="009B7F14" w:rsidRDefault="00F3740C" w:rsidP="00376576">
      <w:pPr>
        <w:autoSpaceDE w:val="0"/>
        <w:autoSpaceDN w:val="0"/>
        <w:adjustRightInd w:val="0"/>
      </w:pPr>
      <w:r w:rsidRPr="009B7F14">
        <w:t xml:space="preserve">The AA's audit manual should provide a description of the working procedures for the different phases of an audit, i.e. audit planning, risk assessment, performance of engagements, recording and documentation, supervision, reporting, quality assurance process and external review, using the work of other auditors, use of any computer assisted audit techniques, sampling methods used, etc. The audit manual should contain reference to materiality thresholds and other quantitative and qualitative factors to consider when assessing the materiality of audit findings for system audits and audits of projects. The audit manual should also include a description of the different phases of reporting (such as draft audit reports, contradictory procedure with the auditee and final audit reports), deadlines for reporting as well as follow-up processes. </w:t>
      </w:r>
    </w:p>
    <w:p w14:paraId="49BE0982" w14:textId="77777777" w:rsidR="00A32CE9" w:rsidRPr="009B7F14" w:rsidRDefault="00F3740C" w:rsidP="00920571">
      <w:pPr>
        <w:pStyle w:val="Heading3"/>
      </w:pPr>
      <w:r w:rsidRPr="009B7F14">
        <w:t>Audits on the fun</w:t>
      </w:r>
      <w:r w:rsidR="00A32CE9" w:rsidRPr="009B7F14">
        <w:t>ctioning of MCS (system audits)</w:t>
      </w:r>
    </w:p>
    <w:p w14:paraId="1A7F8AA2" w14:textId="69316895" w:rsidR="00F3740C" w:rsidRPr="009B7F14" w:rsidRDefault="00F3740C" w:rsidP="00376576">
      <w:pPr>
        <w:autoSpaceDE w:val="0"/>
        <w:autoSpaceDN w:val="0"/>
        <w:adjustRightInd w:val="0"/>
      </w:pPr>
      <w:r w:rsidRPr="009B7F14">
        <w:t>This section shall include indication of the bodies to be audited and the related key requirements in the context of system audits.</w:t>
      </w:r>
    </w:p>
    <w:p w14:paraId="29F62A7E" w14:textId="77777777" w:rsidR="00CD14A2" w:rsidRPr="009B7F14" w:rsidRDefault="00F3740C" w:rsidP="00376576">
      <w:pPr>
        <w:autoSpaceDE w:val="0"/>
        <w:autoSpaceDN w:val="0"/>
        <w:adjustRightInd w:val="0"/>
      </w:pPr>
      <w:r w:rsidRPr="009B7F14">
        <w:t>The AA should have tailored checklists and work programmes for its system audits, ensuring that all key requirements and procedures are covered regularly either through full audits or follow-up audits, in order to enable the AA to conclude on the functioning of the MCS from the first annual audit report onwards. Concerning the frequency and scope of system audits, the AA should decide based on its risk assessment, taking account of I</w:t>
      </w:r>
      <w:r w:rsidR="00A32CE9" w:rsidRPr="009B7F14">
        <w:t xml:space="preserve">nternational Standard on Auditing </w:t>
      </w:r>
      <w:r w:rsidRPr="009B7F14">
        <w:t xml:space="preserve">330 on the auditor's responses to assessed risks. In any case, system audits should be carried out in a timely manner, in order to contribute to the adequate planning and selection of audits of projects and to the expression of the annual audit opinion. </w:t>
      </w:r>
    </w:p>
    <w:p w14:paraId="4462FCA8" w14:textId="77777777" w:rsidR="00C27F98" w:rsidRDefault="00F3740C" w:rsidP="00376576">
      <w:pPr>
        <w:autoSpaceDE w:val="0"/>
        <w:autoSpaceDN w:val="0"/>
        <w:adjustRightInd w:val="0"/>
      </w:pPr>
      <w:r w:rsidRPr="009B7F14">
        <w:t xml:space="preserve">If during implementation of the programme(s), the MCS is subject to substantial changes (e.g. modification of procedures affecting the essential key requirements), the AA should perform a new system audit </w:t>
      </w:r>
      <w:r w:rsidR="00F53C80" w:rsidRPr="009B7F14">
        <w:t>of the</w:t>
      </w:r>
      <w:r w:rsidRPr="009B7F14">
        <w:t xml:space="preserve"> MCS, covering the new aspects and update the risk assessment accordingly. Audit</w:t>
      </w:r>
      <w:r w:rsidR="00C27F98">
        <w:t>s carried out in the period 2009</w:t>
      </w:r>
      <w:r w:rsidRPr="009B7F14">
        <w:t>-</w:t>
      </w:r>
      <w:r w:rsidR="00D458F7" w:rsidRPr="009B7F14">
        <w:t>2014</w:t>
      </w:r>
      <w:r w:rsidR="00236DF9" w:rsidRPr="009B7F14">
        <w:t xml:space="preserve"> </w:t>
      </w:r>
      <w:r w:rsidRPr="009B7F14">
        <w:t xml:space="preserve">may be used as a reference point for the AA, in particular in the risk assessment, when planning the systems audits for 2014-2021 when the MCS are similar. </w:t>
      </w:r>
    </w:p>
    <w:p w14:paraId="63C8DBBE" w14:textId="24838CA7" w:rsidR="00CD14A2" w:rsidRPr="009B7F14" w:rsidRDefault="00F3740C" w:rsidP="00376576">
      <w:pPr>
        <w:autoSpaceDE w:val="0"/>
        <w:autoSpaceDN w:val="0"/>
        <w:adjustRightInd w:val="0"/>
      </w:pPr>
      <w:r w:rsidRPr="009B7F14">
        <w:t xml:space="preserve">However, system audits still need to be carried out in 2014-2021, which aim at assessing whether the MCS is properly functioning in this period. On site, the auditor must aim to obtain sufficient and reliable evidence that the MCS in place functions effectively and as described, in order to conclude whether those systems are adequate to ensure the legality and regularity of expenditure and the accuracy and completeness of financial and other information. Test of controls may include walkthrough tests of the relevant files held by the authorities concerned, interviews with relevant staff and examination of a sample of transactions. Taken together, sufficient testing should be carried out to enable sound conclusions to be reached on the proper functioning of the systems under examination. The actual content of each audit should be adjusted by the auditor to take account of the control environment as part of the preparation stage for the audit. </w:t>
      </w:r>
    </w:p>
    <w:p w14:paraId="176E5AA8" w14:textId="77777777" w:rsidR="00C27F98" w:rsidRDefault="00F3740C" w:rsidP="00376576">
      <w:pPr>
        <w:autoSpaceDE w:val="0"/>
        <w:autoSpaceDN w:val="0"/>
        <w:adjustRightInd w:val="0"/>
      </w:pPr>
      <w:r w:rsidRPr="009B7F14">
        <w:t xml:space="preserve">In system audits, attribute sampling is normally used to test several attributes of the population at stake. In any event, the sample selection method for system audits is a matter for the AA's professional judgment. During system audits, the AA has to test the different key internal controls established. When determining the number of items for controls testing, one should consider certain overall factors, taking account the internationally accepted audit standards (e.g. ISA 330 on the auditor's responses to assessed risks, the ISSAI 4100 on the factors to be taken when defining materiality, ISSAI 1320 on materiality in planning and performing an audit, ISSAI 1450 on evaluation of misstatements identified during the audit). </w:t>
      </w:r>
    </w:p>
    <w:p w14:paraId="2BA2FC2A" w14:textId="7F989833" w:rsidR="00F3740C" w:rsidRPr="009B7F14" w:rsidRDefault="00F3740C" w:rsidP="00376576">
      <w:pPr>
        <w:autoSpaceDE w:val="0"/>
        <w:autoSpaceDN w:val="0"/>
        <w:adjustRightInd w:val="0"/>
      </w:pPr>
      <w:r w:rsidRPr="009B7F14">
        <w:t xml:space="preserve">When planning a system audit, the AA should define in advance the threshold above which a deficiency will be considered material. When the system audit concludes that the deviation rate detected is higher than the materiality threshold defined by the AA for that audit, this means that the MCS does not meet the criterion set for a high assurance level. As a result, the MCS must be classified as having an average or low assurance level, with implications in the determination of the sample size of the audits of projects. </w:t>
      </w:r>
    </w:p>
    <w:p w14:paraId="26B09F91" w14:textId="77777777" w:rsidR="00A32CE9" w:rsidRPr="009B7F14" w:rsidRDefault="00F3740C" w:rsidP="00920571">
      <w:pPr>
        <w:pStyle w:val="Heading3"/>
      </w:pPr>
      <w:r w:rsidRPr="009B7F14">
        <w:t>Audits of Projects</w:t>
      </w:r>
    </w:p>
    <w:p w14:paraId="60E63C04" w14:textId="77777777" w:rsidR="00F3740C" w:rsidRPr="009B7F14" w:rsidRDefault="00F3740C" w:rsidP="00376576">
      <w:pPr>
        <w:autoSpaceDE w:val="0"/>
        <w:autoSpaceDN w:val="0"/>
        <w:adjustRightInd w:val="0"/>
      </w:pPr>
      <w:r w:rsidRPr="009B7F14">
        <w:t xml:space="preserve">This section shall include a description of (or reference to internal document specifying) the sampling methodology to be used in line with </w:t>
      </w:r>
      <w:r w:rsidR="00ED7943" w:rsidRPr="009B7F14">
        <w:t xml:space="preserve">Reg. </w:t>
      </w:r>
      <w:r w:rsidRPr="009B7F14">
        <w:t>Art</w:t>
      </w:r>
      <w:r w:rsidR="00ED7943" w:rsidRPr="009B7F14">
        <w:t>.</w:t>
      </w:r>
      <w:r w:rsidR="00327E28" w:rsidRPr="009B7F14">
        <w:t xml:space="preserve"> 5.5.4</w:t>
      </w:r>
      <w:r w:rsidRPr="009B7F14">
        <w:t xml:space="preserve">, and other specific procedures in place for audits of projects, namely related with the classification and treatment of the errors detected, including suspected fraud. </w:t>
      </w:r>
    </w:p>
    <w:p w14:paraId="7B994416" w14:textId="1E204EFF" w:rsidR="00A32CE9" w:rsidRPr="009B7F14" w:rsidRDefault="00F3740C" w:rsidP="00376576">
      <w:pPr>
        <w:autoSpaceDE w:val="0"/>
        <w:autoSpaceDN w:val="0"/>
        <w:adjustRightInd w:val="0"/>
      </w:pPr>
      <w:r w:rsidRPr="009B7F14">
        <w:t>Sampling method, sampling unit and the parameters for calculating the sample size should be determined by the AA based on professional judgment and taking into account the regulatory requirements and factors such as the characteristics of the population and the expectation regarding the level and variability of error</w:t>
      </w:r>
      <w:r w:rsidR="00E25C5F">
        <w:t>s</w:t>
      </w:r>
      <w:r w:rsidRPr="009B7F14">
        <w:t>.</w:t>
      </w:r>
      <w:r w:rsidR="00FD3DA1" w:rsidRPr="009B7F14">
        <w:t xml:space="preserve"> </w:t>
      </w:r>
      <w:r w:rsidRPr="009B7F14">
        <w:t xml:space="preserve">The need for revising the sampling methodology should be assessed regularly and especially before each sampling exercise. The confidence level for sampling is determined according to the reliability level obtained from the system audits.  </w:t>
      </w:r>
    </w:p>
    <w:p w14:paraId="41D5E9A4" w14:textId="77777777" w:rsidR="00A32CE9" w:rsidRPr="009B7F14" w:rsidRDefault="00F3740C" w:rsidP="00920571">
      <w:pPr>
        <w:pStyle w:val="Heading3"/>
      </w:pPr>
      <w:r w:rsidRPr="009B7F14">
        <w:t>Audit work planned</w:t>
      </w:r>
    </w:p>
    <w:p w14:paraId="467116EA" w14:textId="77777777" w:rsidR="00F3740C" w:rsidRPr="009B7F14" w:rsidRDefault="00F3740C" w:rsidP="00376576">
      <w:pPr>
        <w:autoSpaceDE w:val="0"/>
        <w:autoSpaceDN w:val="0"/>
        <w:adjustRightInd w:val="0"/>
      </w:pPr>
      <w:r w:rsidRPr="009B7F14">
        <w:t xml:space="preserve">This section shall include a description and justification of the audit priorities and specific objectives in relation to the current accounting year and the two subsequent accounting years, together with an explanation of the linkage of the risk assessment results to the audit work planned. A description of the criteria used to determine the audit priorities and the justification should be included. The results of the risk assessment exercise should be the main basis for prioritising the system audit work planned. It is recommended that the AA prepares a general plan for the whole programming period to cover the entire MCS in order to obtain reasonable assurance on its effectiveness, in addition to the mandatory detailed planning setting out the priorities for the current accounting year and the subsequent two accounting years. </w:t>
      </w:r>
    </w:p>
    <w:p w14:paraId="7B88DCC8" w14:textId="77777777" w:rsidR="00A32CE9" w:rsidRPr="009B7F14" w:rsidRDefault="00A32CE9" w:rsidP="00920571">
      <w:pPr>
        <w:pStyle w:val="Heading3"/>
      </w:pPr>
      <w:r w:rsidRPr="009B7F14">
        <w:t>Resources</w:t>
      </w:r>
    </w:p>
    <w:p w14:paraId="4C8AD353" w14:textId="77777777" w:rsidR="00CD14A2" w:rsidRPr="009B7F14" w:rsidRDefault="00F3740C" w:rsidP="00376576">
      <w:r w:rsidRPr="009B7F14">
        <w:t xml:space="preserve">This section shall include an organisation chart of the AA and information on its relationship with any audit body that carries out audits as foreseen in </w:t>
      </w:r>
      <w:r w:rsidR="00ED7943" w:rsidRPr="009B7F14">
        <w:t xml:space="preserve">Reg. </w:t>
      </w:r>
      <w:r w:rsidRPr="009B7F14">
        <w:t>Art</w:t>
      </w:r>
      <w:r w:rsidR="00D9579D" w:rsidRPr="009B7F14">
        <w:t>. 5.5.2.</w:t>
      </w:r>
      <w:r w:rsidRPr="009B7F14">
        <w:t xml:space="preserve"> Indication of planned resources to be allocated in relation to the current accounting year and the two subsequent accounting years. The audit strategy should indicate the human resources in auditor-days available (or to be mobilised) to accomplish its objectives for the coming years, including the resources of other audit bodies and outsourced audit activities. </w:t>
      </w:r>
    </w:p>
    <w:p w14:paraId="08CABAE3" w14:textId="19584326" w:rsidR="00C27F98" w:rsidRDefault="00F3740C" w:rsidP="00376576">
      <w:r w:rsidRPr="009B7F14">
        <w:t xml:space="preserve">It is recommended to indicate separately the auditor-days available at the level of the AA, other audit bodies and outsourced activities. An indication of available auditor-days per audit type (system audit and audit of projects) should be included. It is essential to provide for adequate resources from the beginning of the </w:t>
      </w:r>
      <w:r w:rsidR="0051483D">
        <w:t>programming</w:t>
      </w:r>
      <w:r w:rsidR="00F53C80" w:rsidRPr="009B7F14">
        <w:t xml:space="preserve"> </w:t>
      </w:r>
      <w:r w:rsidRPr="009B7F14">
        <w:t>period. It is recommended to have a long-term planning so that future requirements in recruitment, training and continuous professional development can be adequately planned. The use of any specialist skills required should be identified and planned, i.e. where outsourcing is envisaged. In case the AA and audit bodies are the same as those for the programming period 2</w:t>
      </w:r>
      <w:r w:rsidR="00DC38DF">
        <w:t>009-2014</w:t>
      </w:r>
      <w:r w:rsidRPr="009B7F14">
        <w:t xml:space="preserve">, it is important that adequate resources are also be planned with respect to the on-going programming period. </w:t>
      </w:r>
    </w:p>
    <w:p w14:paraId="45A2F3C3" w14:textId="77777777" w:rsidR="00C27F98" w:rsidRDefault="00C27F98" w:rsidP="00376576"/>
    <w:p w14:paraId="04D9FBEF" w14:textId="3C98AC8E" w:rsidR="00F3740C" w:rsidRPr="009B7F14" w:rsidRDefault="00F3740C" w:rsidP="00376576">
      <w:r w:rsidRPr="009B7F14">
        <w:t>Therefore, the AA should confirm that the resources indicated are available in addition to the resources allocated to the remaining audit work for the current period, having in mind the workload for the closure of 200</w:t>
      </w:r>
      <w:r w:rsidR="00DC38DF">
        <w:t>9-2014</w:t>
      </w:r>
      <w:r w:rsidRPr="009B7F14">
        <w:t xml:space="preserve"> programmes. In terms of audit resources, guidance is provided by the INTOSAI European Implementing Guidelines N° 11 and the IIA standards.</w:t>
      </w:r>
    </w:p>
    <w:p w14:paraId="39A2BF10" w14:textId="386DED31" w:rsidR="00F3740C" w:rsidRPr="009B7F14" w:rsidRDefault="006C4D8D" w:rsidP="00920571">
      <w:pPr>
        <w:pStyle w:val="Heading2"/>
      </w:pPr>
      <w:r>
        <w:t xml:space="preserve"> </w:t>
      </w:r>
      <w:bookmarkStart w:id="70" w:name="_Toc484174851"/>
      <w:r w:rsidR="00F3740C" w:rsidRPr="009B7F14">
        <w:t>Annual audit r</w:t>
      </w:r>
      <w:r w:rsidR="00A32CE9" w:rsidRPr="009B7F14">
        <w:t>eports and audit opinion (</w:t>
      </w:r>
      <w:r w:rsidR="00ED7943" w:rsidRPr="009B7F14">
        <w:t xml:space="preserve">Reg. </w:t>
      </w:r>
      <w:r w:rsidR="00A32CE9" w:rsidRPr="009B7F14">
        <w:t>Art. 5</w:t>
      </w:r>
      <w:r w:rsidR="00F3740C" w:rsidRPr="009B7F14">
        <w:t>.</w:t>
      </w:r>
      <w:r w:rsidR="00A32CE9" w:rsidRPr="009B7F14">
        <w:t>5</w:t>
      </w:r>
      <w:r w:rsidR="00D70D27" w:rsidRPr="009B7F14">
        <w:t>.1 (e)</w:t>
      </w:r>
      <w:r w:rsidR="00F3740C" w:rsidRPr="009B7F14">
        <w:t>)</w:t>
      </w:r>
      <w:bookmarkEnd w:id="70"/>
    </w:p>
    <w:p w14:paraId="7D10C07D" w14:textId="74205DB0" w:rsidR="00F3740C" w:rsidRPr="009B7F14" w:rsidRDefault="00F3740C" w:rsidP="00376576">
      <w:pPr>
        <w:autoSpaceDE w:val="0"/>
        <w:autoSpaceDN w:val="0"/>
        <w:adjustRightInd w:val="0"/>
      </w:pPr>
      <w:r w:rsidRPr="009B7F14">
        <w:t xml:space="preserve">The </w:t>
      </w:r>
      <w:r w:rsidR="00254720" w:rsidRPr="009B7F14">
        <w:rPr>
          <w:rFonts w:eastAsia="Times New Roman" w:cs="Times New Roman"/>
        </w:rPr>
        <w:t xml:space="preserve">annual audit report </w:t>
      </w:r>
      <w:r w:rsidR="00254720">
        <w:rPr>
          <w:rFonts w:eastAsia="Times New Roman" w:cs="Times New Roman"/>
        </w:rPr>
        <w:t>(</w:t>
      </w:r>
      <w:r w:rsidRPr="009B7F14">
        <w:t>AAR</w:t>
      </w:r>
      <w:r w:rsidR="00254720">
        <w:t>)</w:t>
      </w:r>
      <w:r w:rsidRPr="009B7F14">
        <w:t xml:space="preserve"> and the </w:t>
      </w:r>
      <w:r w:rsidR="00254720">
        <w:t>audit opinion (</w:t>
      </w:r>
      <w:r w:rsidR="00A32CE9" w:rsidRPr="009B7F14">
        <w:t>AO</w:t>
      </w:r>
      <w:r w:rsidR="00254720">
        <w:t>)</w:t>
      </w:r>
      <w:r w:rsidRPr="009B7F14">
        <w:t xml:space="preserve"> by the AA is an important element through which the Donors obtain reasonable assurance on the proper functioning of the MCS in the Beneficiary States, the legality and regularity of the expenditure declared </w:t>
      </w:r>
      <w:r w:rsidR="00DB4E41" w:rsidRPr="009B7F14">
        <w:rPr>
          <w:noProof/>
          <w:lang w:eastAsia="en-GB"/>
        </w:rPr>
        <mc:AlternateContent>
          <mc:Choice Requires="wps">
            <w:drawing>
              <wp:anchor distT="0" distB="0" distL="114300" distR="114300" simplePos="0" relativeHeight="251776000" behindDoc="1" locked="0" layoutInCell="1" allowOverlap="1" wp14:anchorId="3B193E14" wp14:editId="5E6CCF97">
                <wp:simplePos x="0" y="0"/>
                <wp:positionH relativeFrom="margin">
                  <wp:posOffset>2676525</wp:posOffset>
                </wp:positionH>
                <wp:positionV relativeFrom="paragraph">
                  <wp:posOffset>0</wp:posOffset>
                </wp:positionV>
                <wp:extent cx="2915920" cy="4972050"/>
                <wp:effectExtent l="476250" t="0" r="17780" b="19050"/>
                <wp:wrapTight wrapText="left">
                  <wp:wrapPolygon edited="0">
                    <wp:start x="2540" y="0"/>
                    <wp:lineTo x="-141" y="0"/>
                    <wp:lineTo x="-282" y="2648"/>
                    <wp:lineTo x="-847" y="2648"/>
                    <wp:lineTo x="-847" y="3972"/>
                    <wp:lineTo x="-2540" y="3972"/>
                    <wp:lineTo x="-2540" y="5297"/>
                    <wp:lineTo x="-3528" y="5297"/>
                    <wp:lineTo x="-3528" y="6621"/>
                    <wp:lineTo x="-3387" y="7945"/>
                    <wp:lineTo x="-1693" y="7945"/>
                    <wp:lineTo x="-1693" y="9269"/>
                    <wp:lineTo x="-282" y="9269"/>
                    <wp:lineTo x="-282" y="21186"/>
                    <wp:lineTo x="988" y="21186"/>
                    <wp:lineTo x="988" y="21600"/>
                    <wp:lineTo x="2399" y="21600"/>
                    <wp:lineTo x="19192" y="21600"/>
                    <wp:lineTo x="19333" y="21600"/>
                    <wp:lineTo x="20603" y="21186"/>
                    <wp:lineTo x="21591" y="19945"/>
                    <wp:lineTo x="21591" y="1324"/>
                    <wp:lineTo x="19192" y="83"/>
                    <wp:lineTo x="19051" y="0"/>
                    <wp:lineTo x="2540" y="0"/>
                  </wp:wrapPolygon>
                </wp:wrapTight>
                <wp:docPr id="230" name="Rounded Rectangular Callout 230"/>
                <wp:cNvGraphicFramePr/>
                <a:graphic xmlns:a="http://schemas.openxmlformats.org/drawingml/2006/main">
                  <a:graphicData uri="http://schemas.microsoft.com/office/word/2010/wordprocessingShape">
                    <wps:wsp>
                      <wps:cNvSpPr/>
                      <wps:spPr>
                        <a:xfrm>
                          <a:off x="0" y="0"/>
                          <a:ext cx="2915920" cy="4972050"/>
                        </a:xfrm>
                        <a:prstGeom prst="wedgeRoundRectCallout">
                          <a:avLst>
                            <a:gd name="adj1" fmla="val -65845"/>
                            <a:gd name="adj2" fmla="val -20800"/>
                            <a:gd name="adj3" fmla="val 16667"/>
                          </a:avLst>
                        </a:prstGeom>
                      </wps:spPr>
                      <wps:style>
                        <a:lnRef idx="2">
                          <a:schemeClr val="dk1"/>
                        </a:lnRef>
                        <a:fillRef idx="1">
                          <a:schemeClr val="lt1"/>
                        </a:fillRef>
                        <a:effectRef idx="0">
                          <a:schemeClr val="dk1"/>
                        </a:effectRef>
                        <a:fontRef idx="minor">
                          <a:schemeClr val="dk1"/>
                        </a:fontRef>
                      </wps:style>
                      <wps:txbx>
                        <w:txbxContent>
                          <w:p w14:paraId="62A5FC20" w14:textId="0E79AD37" w:rsidR="00A87AB3" w:rsidRPr="009029AC" w:rsidRDefault="00A87AB3" w:rsidP="009029AC">
                            <w:pPr>
                              <w:rPr>
                                <w:color w:val="4472C4" w:themeColor="accent5"/>
                                <w:sz w:val="18"/>
                              </w:rPr>
                            </w:pPr>
                            <w:r>
                              <w:rPr>
                                <w:color w:val="4472C4" w:themeColor="accent5"/>
                                <w:sz w:val="18"/>
                              </w:rPr>
                              <w:t>B</w:t>
                            </w:r>
                            <w:r w:rsidRPr="009029AC">
                              <w:rPr>
                                <w:color w:val="4472C4" w:themeColor="accent5"/>
                                <w:sz w:val="18"/>
                              </w:rPr>
                              <w:t>y 15 February each year from 2019 to 2025</w:t>
                            </w:r>
                            <w:r>
                              <w:rPr>
                                <w:color w:val="4472C4" w:themeColor="accent5"/>
                                <w:sz w:val="18"/>
                              </w:rPr>
                              <w:t>, T</w:t>
                            </w:r>
                            <w:r w:rsidRPr="009029AC">
                              <w:rPr>
                                <w:color w:val="4472C4" w:themeColor="accent5"/>
                                <w:sz w:val="18"/>
                              </w:rPr>
                              <w:t>he Audit Authority shall be responsible for:</w:t>
                            </w:r>
                          </w:p>
                          <w:p w14:paraId="16DF604E" w14:textId="54C102E2" w:rsidR="00A87AB3" w:rsidRPr="009029AC" w:rsidRDefault="00A87AB3" w:rsidP="009029AC">
                            <w:pPr>
                              <w:rPr>
                                <w:color w:val="4472C4" w:themeColor="accent5"/>
                                <w:sz w:val="18"/>
                              </w:rPr>
                            </w:pPr>
                            <w:r w:rsidRPr="009029AC">
                              <w:rPr>
                                <w:color w:val="4472C4" w:themeColor="accent5"/>
                                <w:sz w:val="18"/>
                              </w:rPr>
                              <w:t xml:space="preserve">(i) </w:t>
                            </w:r>
                            <w:proofErr w:type="gramStart"/>
                            <w:r w:rsidRPr="009029AC">
                              <w:rPr>
                                <w:color w:val="4472C4" w:themeColor="accent5"/>
                                <w:sz w:val="18"/>
                              </w:rPr>
                              <w:t>submitting</w:t>
                            </w:r>
                            <w:proofErr w:type="gramEnd"/>
                            <w:r w:rsidRPr="009029AC">
                              <w:rPr>
                                <w:color w:val="4472C4" w:themeColor="accent5"/>
                                <w:sz w:val="18"/>
                              </w:rPr>
                              <w:t xml:space="preserve"> to the FMC an annual audit report setting out the findings of the audits carried out during the previous 12 month-period ending on 31 December of the year concerned in accordance with the audit strategy of the programme and reporting any shortcomings found in the systems for the management and control. The first report to be submitted by 15 February 2019 shall cover the period up to 31 December 2018. The information concerning the audits carried out after 1 January 2025 shall be included in the final audit report supporting the closure decla</w:t>
                            </w:r>
                            <w:r>
                              <w:rPr>
                                <w:color w:val="4472C4" w:themeColor="accent5"/>
                                <w:sz w:val="18"/>
                              </w:rPr>
                              <w:t>ration referred to in point (f)</w:t>
                            </w:r>
                            <w:r w:rsidRPr="009029AC">
                              <w:rPr>
                                <w:color w:val="4472C4" w:themeColor="accent5"/>
                                <w:sz w:val="18"/>
                              </w:rPr>
                              <w:t xml:space="preserve"> </w:t>
                            </w:r>
                          </w:p>
                          <w:p w14:paraId="127E48AF" w14:textId="0E852C83" w:rsidR="00A87AB3" w:rsidRDefault="00A87AB3" w:rsidP="009029AC">
                            <w:pPr>
                              <w:rPr>
                                <w:color w:val="4472C4" w:themeColor="accent5"/>
                                <w:sz w:val="18"/>
                              </w:rPr>
                            </w:pPr>
                            <w:r w:rsidRPr="009029AC">
                              <w:rPr>
                                <w:color w:val="4472C4" w:themeColor="accent5"/>
                                <w:sz w:val="18"/>
                              </w:rPr>
                              <w:t>(ii) issuing an opinion to the FMC, on the basis of the controls and audits that have been carried out under its responsibility, as to whether the management and control system functions effectively, so as to provide a reasonable assurance that statements of actual expenditure incurred presented to the FMC are correct and as a consequence reasonable assurance that the underlying transactions are legal and regular (Reg. Art. 5.5.1 (e))</w:t>
                            </w:r>
                          </w:p>
                          <w:p w14:paraId="3237B2FD" w14:textId="77777777" w:rsidR="00A87AB3" w:rsidRPr="009029AC" w:rsidRDefault="00A87AB3" w:rsidP="009029AC">
                            <w:pPr>
                              <w:rPr>
                                <w:color w:val="4472C4" w:themeColor="accent5"/>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93E14" id="Rounded Rectangular Callout 230" o:spid="_x0000_s1051" type="#_x0000_t62" style="position:absolute;left:0;text-align:left;margin-left:210.75pt;margin-top:0;width:229.6pt;height:391.5pt;z-index:-25154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" adj="-3423,6307" fillcolor="white [3201]" strokecolor="black [3200]" strokeweight="1pt">
                <v:textbox>
                  <w:txbxContent>
                    <w:p w14:paraId="62A5FC20" w14:textId="0E79AD37" w:rsidR="00A87AB3" w:rsidRPr="009029AC" w:rsidRDefault="00A87AB3" w:rsidP="009029AC">
                      <w:pPr>
                        <w:rPr>
                          <w:color w:val="4472C4" w:themeColor="accent5"/>
                          <w:sz w:val="18"/>
                        </w:rPr>
                      </w:pPr>
                      <w:r>
                        <w:rPr>
                          <w:color w:val="4472C4" w:themeColor="accent5"/>
                          <w:sz w:val="18"/>
                        </w:rPr>
                        <w:t>B</w:t>
                      </w:r>
                      <w:r w:rsidRPr="009029AC">
                        <w:rPr>
                          <w:color w:val="4472C4" w:themeColor="accent5"/>
                          <w:sz w:val="18"/>
                        </w:rPr>
                        <w:t>y 15 February each year from 2019 to 2025</w:t>
                      </w:r>
                      <w:r>
                        <w:rPr>
                          <w:color w:val="4472C4" w:themeColor="accent5"/>
                          <w:sz w:val="18"/>
                        </w:rPr>
                        <w:t>, T</w:t>
                      </w:r>
                      <w:r w:rsidRPr="009029AC">
                        <w:rPr>
                          <w:color w:val="4472C4" w:themeColor="accent5"/>
                          <w:sz w:val="18"/>
                        </w:rPr>
                        <w:t>he Audit Authority shall be responsible for:</w:t>
                      </w:r>
                    </w:p>
                    <w:p w14:paraId="16DF604E" w14:textId="54C102E2" w:rsidR="00A87AB3" w:rsidRPr="009029AC" w:rsidRDefault="00A87AB3" w:rsidP="009029AC">
                      <w:pPr>
                        <w:rPr>
                          <w:color w:val="4472C4" w:themeColor="accent5"/>
                          <w:sz w:val="18"/>
                        </w:rPr>
                      </w:pPr>
                      <w:r w:rsidRPr="009029AC">
                        <w:rPr>
                          <w:color w:val="4472C4" w:themeColor="accent5"/>
                          <w:sz w:val="18"/>
                        </w:rPr>
                        <w:t xml:space="preserve">(i) </w:t>
                      </w:r>
                      <w:proofErr w:type="gramStart"/>
                      <w:r w:rsidRPr="009029AC">
                        <w:rPr>
                          <w:color w:val="4472C4" w:themeColor="accent5"/>
                          <w:sz w:val="18"/>
                        </w:rPr>
                        <w:t>submitting</w:t>
                      </w:r>
                      <w:proofErr w:type="gramEnd"/>
                      <w:r w:rsidRPr="009029AC">
                        <w:rPr>
                          <w:color w:val="4472C4" w:themeColor="accent5"/>
                          <w:sz w:val="18"/>
                        </w:rPr>
                        <w:t xml:space="preserve"> to the FMC an annual audit report setting out the findings of the audits carried out during the previous 12 month-period ending on 31 December of the year concerned in accordance with the audit strategy of the programme and reporting any shortcomings found in the systems for the management and control. The first report to be submitted by 15 February 2019 shall cover the period up to 31 December 2018. The information concerning the audits carried out after 1 January 2025 shall be included in the final audit report supporting the closure decla</w:t>
                      </w:r>
                      <w:r>
                        <w:rPr>
                          <w:color w:val="4472C4" w:themeColor="accent5"/>
                          <w:sz w:val="18"/>
                        </w:rPr>
                        <w:t>ration referred to in point (f)</w:t>
                      </w:r>
                      <w:r w:rsidRPr="009029AC">
                        <w:rPr>
                          <w:color w:val="4472C4" w:themeColor="accent5"/>
                          <w:sz w:val="18"/>
                        </w:rPr>
                        <w:t xml:space="preserve"> </w:t>
                      </w:r>
                    </w:p>
                    <w:p w14:paraId="127E48AF" w14:textId="0E852C83" w:rsidR="00A87AB3" w:rsidRDefault="00A87AB3" w:rsidP="009029AC">
                      <w:pPr>
                        <w:rPr>
                          <w:color w:val="4472C4" w:themeColor="accent5"/>
                          <w:sz w:val="18"/>
                        </w:rPr>
                      </w:pPr>
                      <w:r w:rsidRPr="009029AC">
                        <w:rPr>
                          <w:color w:val="4472C4" w:themeColor="accent5"/>
                          <w:sz w:val="18"/>
                        </w:rPr>
                        <w:t>(ii) issuing an opinion to the FMC, on the basis of the controls and audits that have been carried out under its responsibility, as to whether the management and control system functions effectively, so as to provide a reasonable assurance that statements of actual expenditure incurred presented to the FMC are correct and as a consequence reasonable assurance that the underlying transactions are legal and regular (Reg. Art. 5.5.1 (e))</w:t>
                      </w:r>
                    </w:p>
                    <w:p w14:paraId="3237B2FD" w14:textId="77777777" w:rsidR="00A87AB3" w:rsidRPr="009029AC" w:rsidRDefault="00A87AB3" w:rsidP="009029AC">
                      <w:pPr>
                        <w:rPr>
                          <w:color w:val="4472C4" w:themeColor="accent5"/>
                          <w:sz w:val="18"/>
                        </w:rPr>
                      </w:pPr>
                    </w:p>
                  </w:txbxContent>
                </v:textbox>
                <w10:wrap type="tight" side="left" anchorx="margin"/>
              </v:shape>
            </w:pict>
          </mc:Fallback>
        </mc:AlternateContent>
      </w:r>
      <w:r w:rsidRPr="009B7F14">
        <w:t xml:space="preserve">and the accuracy, completeness and veracity of the accounts. The AA should carry out all the audit work necessary to draw a valid audit opinion for each accounting year. </w:t>
      </w:r>
    </w:p>
    <w:p w14:paraId="06B5879B" w14:textId="77777777" w:rsidR="00F3740C" w:rsidRPr="009B7F14" w:rsidRDefault="00F3740C" w:rsidP="00376576">
      <w:pPr>
        <w:autoSpaceDE w:val="0"/>
        <w:autoSpaceDN w:val="0"/>
        <w:adjustRightInd w:val="0"/>
      </w:pPr>
      <w:r w:rsidRPr="009B7F14">
        <w:t xml:space="preserve">In case of any irregularities detected by the AA, these should be reported by the Irregularity Authority to the </w:t>
      </w:r>
      <w:r w:rsidR="00C933D9" w:rsidRPr="009B7F14">
        <w:t>FMO</w:t>
      </w:r>
      <w:r w:rsidRPr="009B7F14">
        <w:t xml:space="preserve"> in accordance with th</w:t>
      </w:r>
      <w:r w:rsidR="00401168" w:rsidRPr="009B7F14">
        <w:t>e</w:t>
      </w:r>
      <w:r w:rsidRPr="009B7F14">
        <w:t xml:space="preserve"> Regulation and in a format provided by the </w:t>
      </w:r>
      <w:r w:rsidR="00C933D9" w:rsidRPr="009B7F14">
        <w:t>FMO</w:t>
      </w:r>
      <w:r w:rsidRPr="009B7F14">
        <w:t>.</w:t>
      </w:r>
    </w:p>
    <w:p w14:paraId="7D1FF316" w14:textId="77777777" w:rsidR="00F3740C" w:rsidRPr="009B7F14" w:rsidRDefault="00F3740C" w:rsidP="00376576">
      <w:pPr>
        <w:autoSpaceDE w:val="0"/>
        <w:autoSpaceDN w:val="0"/>
        <w:adjustRightInd w:val="0"/>
      </w:pPr>
      <w:r w:rsidRPr="009B7F14">
        <w:t>The AAR should</w:t>
      </w:r>
      <w:r w:rsidR="00F53C80" w:rsidRPr="009B7F14">
        <w:t>, at least, include the</w:t>
      </w:r>
      <w:r w:rsidRPr="009B7F14">
        <w:t xml:space="preserve"> elements</w:t>
      </w:r>
      <w:r w:rsidR="00F53C80" w:rsidRPr="009B7F14">
        <w:t xml:space="preserve"> described in the subsections below</w:t>
      </w:r>
      <w:r w:rsidRPr="009B7F14">
        <w:t>:</w:t>
      </w:r>
    </w:p>
    <w:p w14:paraId="4DBD9285" w14:textId="77777777" w:rsidR="00F3740C" w:rsidRPr="009B7F14" w:rsidRDefault="00FC3819" w:rsidP="00920571">
      <w:pPr>
        <w:pStyle w:val="Heading3"/>
      </w:pPr>
      <w:r w:rsidRPr="009B7F14">
        <w:t xml:space="preserve"> </w:t>
      </w:r>
      <w:r w:rsidR="00F3740C" w:rsidRPr="009B7F14">
        <w:t>Introduction</w:t>
      </w:r>
    </w:p>
    <w:p w14:paraId="7CAAD825" w14:textId="5FCB0198"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Reference pe</w:t>
      </w:r>
      <w:r w:rsidR="001872E6">
        <w:rPr>
          <w:rFonts w:cs="Times New Roman"/>
          <w:color w:val="000000"/>
        </w:rPr>
        <w:t>riod (i.e. the accounting year)</w:t>
      </w:r>
    </w:p>
    <w:p w14:paraId="41330FDB" w14:textId="176BC716"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Reference to the version o</w:t>
      </w:r>
      <w:r w:rsidR="001872E6">
        <w:rPr>
          <w:rFonts w:cs="Times New Roman"/>
          <w:color w:val="000000"/>
        </w:rPr>
        <w:t>f the audit strategy applicable</w:t>
      </w:r>
    </w:p>
    <w:p w14:paraId="5EF42DAE" w14:textId="16B754F4"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Audit period (during which the audit work took place)</w:t>
      </w:r>
    </w:p>
    <w:p w14:paraId="58896658" w14:textId="29821BDD"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 xml:space="preserve">Identification of the programme(s) covered by the report and of its/their </w:t>
      </w:r>
      <w:r w:rsidR="003134A1" w:rsidRPr="009B7F14">
        <w:rPr>
          <w:rFonts w:cs="Times New Roman"/>
          <w:color w:val="000000"/>
        </w:rPr>
        <w:t>PO</w:t>
      </w:r>
      <w:r w:rsidR="001872E6">
        <w:rPr>
          <w:rFonts w:cs="Times New Roman"/>
          <w:color w:val="000000"/>
        </w:rPr>
        <w:t>(s)</w:t>
      </w:r>
    </w:p>
    <w:p w14:paraId="2A281AA8" w14:textId="12BA2134"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Description of the steps taken to prepare the report and to draw the audit opinion (preparatory phase, documentation analysed, coordination with other bodies (if applicable), audit work conducted and d</w:t>
      </w:r>
      <w:r w:rsidR="001872E6">
        <w:rPr>
          <w:rFonts w:cs="Times New Roman"/>
          <w:color w:val="000000"/>
        </w:rPr>
        <w:t>rawing up of the audit opinion)</w:t>
      </w:r>
    </w:p>
    <w:p w14:paraId="5F936CF4" w14:textId="77777777" w:rsidR="00F3740C" w:rsidRPr="009B7F14" w:rsidRDefault="00FC3819" w:rsidP="00920571">
      <w:pPr>
        <w:pStyle w:val="Heading3"/>
      </w:pPr>
      <w:r w:rsidRPr="009B7F14">
        <w:t xml:space="preserve"> </w:t>
      </w:r>
      <w:r w:rsidR="00F3740C" w:rsidRPr="009B7F14">
        <w:t>Significant changes in management and control systems</w:t>
      </w:r>
    </w:p>
    <w:p w14:paraId="35C7C93F" w14:textId="09988543"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 xml:space="preserve">Details of any significant changes in the management and control systems related with responsibilities of authorities involved both at national and programmes’ level. Significant changes refer to changes which could have an impact on the proper functioning of the MCS and the level of assurance they provide. It is expected that the AA confirms, on the basis of audit work performed related to the MCS changes, that these modifications do not affect the conclusions of the opinion previously issued based on </w:t>
      </w:r>
      <w:r w:rsidR="00ED7943" w:rsidRPr="009B7F14">
        <w:rPr>
          <w:rFonts w:cs="Times New Roman"/>
          <w:color w:val="000000"/>
        </w:rPr>
        <w:t xml:space="preserve">Reg. </w:t>
      </w:r>
      <w:r w:rsidRPr="009B7F14">
        <w:rPr>
          <w:rFonts w:cs="Times New Roman"/>
          <w:color w:val="000000"/>
        </w:rPr>
        <w:t>Art</w:t>
      </w:r>
      <w:r w:rsidR="00ED7943" w:rsidRPr="009B7F14">
        <w:rPr>
          <w:rFonts w:cs="Times New Roman"/>
          <w:color w:val="000000"/>
        </w:rPr>
        <w:t>.</w:t>
      </w:r>
      <w:r w:rsidR="0093548E" w:rsidRPr="009B7F14">
        <w:rPr>
          <w:rFonts w:cs="Times New Roman"/>
          <w:color w:val="000000"/>
        </w:rPr>
        <w:t xml:space="preserve"> 5.5.1 </w:t>
      </w:r>
      <w:r w:rsidR="00A279D6" w:rsidRPr="009B7F14">
        <w:rPr>
          <w:rFonts w:cs="Times New Roman"/>
          <w:color w:val="000000"/>
        </w:rPr>
        <w:t>(</w:t>
      </w:r>
      <w:r w:rsidR="00051B4D" w:rsidRPr="009B7F14">
        <w:rPr>
          <w:rFonts w:cs="Times New Roman"/>
          <w:color w:val="000000"/>
        </w:rPr>
        <w:t>e</w:t>
      </w:r>
      <w:r w:rsidR="00A279D6" w:rsidRPr="009B7F14">
        <w:rPr>
          <w:rFonts w:cs="Times New Roman"/>
          <w:color w:val="000000"/>
        </w:rPr>
        <w:t>)</w:t>
      </w:r>
    </w:p>
    <w:p w14:paraId="4C805259" w14:textId="2F12693F"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The dates from which these changes apply as well as the impact of these changes to the</w:t>
      </w:r>
      <w:r w:rsidR="001872E6">
        <w:rPr>
          <w:rFonts w:cs="Times New Roman"/>
          <w:color w:val="000000"/>
        </w:rPr>
        <w:t xml:space="preserve"> audit work are to be indicated</w:t>
      </w:r>
    </w:p>
    <w:p w14:paraId="71E3FFB7" w14:textId="77777777" w:rsidR="00F3740C" w:rsidRPr="009B7F14" w:rsidRDefault="00FC3819" w:rsidP="00920571">
      <w:pPr>
        <w:pStyle w:val="Heading3"/>
      </w:pPr>
      <w:r w:rsidRPr="009B7F14">
        <w:t xml:space="preserve"> </w:t>
      </w:r>
      <w:r w:rsidR="00F3740C" w:rsidRPr="009B7F14">
        <w:t>Changes to the audit strategy</w:t>
      </w:r>
    </w:p>
    <w:p w14:paraId="52D5F216" w14:textId="2522E526"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Details of any changes to the audit strategy (compared to the previous version), and explanation of the reasons. In particular, indicate any change to the sampling method</w:t>
      </w:r>
      <w:r w:rsidR="001872E6">
        <w:rPr>
          <w:rFonts w:cs="Times New Roman"/>
          <w:color w:val="000000"/>
        </w:rPr>
        <w:t xml:space="preserve"> used for the audit of projects</w:t>
      </w:r>
      <w:r w:rsidRPr="009B7F14">
        <w:rPr>
          <w:rFonts w:cs="Times New Roman"/>
          <w:color w:val="000000"/>
        </w:rPr>
        <w:t xml:space="preserve"> </w:t>
      </w:r>
    </w:p>
    <w:p w14:paraId="74B51154" w14:textId="77777777" w:rsidR="00F3740C" w:rsidRPr="009B7F14" w:rsidRDefault="00FC3819" w:rsidP="00920571">
      <w:pPr>
        <w:pStyle w:val="Heading3"/>
      </w:pPr>
      <w:bookmarkStart w:id="71" w:name="_Ref462301196"/>
      <w:r w:rsidRPr="009B7F14">
        <w:t xml:space="preserve"> </w:t>
      </w:r>
      <w:r w:rsidR="00F3740C" w:rsidRPr="009B7F14">
        <w:t>System audits</w:t>
      </w:r>
      <w:bookmarkEnd w:id="71"/>
    </w:p>
    <w:p w14:paraId="6166AD76" w14:textId="767F68AE"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Details of the bodies (including the AA) that have carried out audits on the proper functioning of the management and control system of the programme(s) - "system audits". If part of the systems audits has been outsourced, the tasks outsourced to the co</w:t>
      </w:r>
      <w:r w:rsidR="001872E6">
        <w:rPr>
          <w:rFonts w:cs="Times New Roman"/>
          <w:color w:val="000000"/>
        </w:rPr>
        <w:t>ntractor(s) should be specified</w:t>
      </w:r>
    </w:p>
    <w:p w14:paraId="3B198213" w14:textId="77E87821"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Description of the basis for the audits carried out, including a reference to the audit strategy applicable, more particularly to the risk assessment methodology and the results that led to establishing t</w:t>
      </w:r>
      <w:r w:rsidR="001872E6">
        <w:rPr>
          <w:rFonts w:cs="Times New Roman"/>
          <w:color w:val="000000"/>
        </w:rPr>
        <w:t>he audit plan for system audits</w:t>
      </w:r>
    </w:p>
    <w:p w14:paraId="5C9FF68E" w14:textId="683EAFFF"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Information concerning the state of implementation of the audit strategy with regard to system audits. In case the audit strategy was not (fully) implemented, the AA should explain the reason for it. Where no system audits have been carried out in relation to the accounting year, an adequate justification should be provided or information about this being in line with the audit strategy. In any case, the AA should implement all the audit work necessary to draw a valid audit o</w:t>
      </w:r>
      <w:r w:rsidR="001872E6">
        <w:rPr>
          <w:rFonts w:cs="Times New Roman"/>
          <w:color w:val="000000"/>
        </w:rPr>
        <w:t>pinion for each accounting year</w:t>
      </w:r>
    </w:p>
    <w:p w14:paraId="7FC295C0" w14:textId="46C33F76"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Description of the main findings, clearly separated by programme, and conclusions drawn from system audits. The bodies concerned by the findi</w:t>
      </w:r>
      <w:r w:rsidR="001872E6">
        <w:rPr>
          <w:rFonts w:cs="Times New Roman"/>
          <w:color w:val="000000"/>
        </w:rPr>
        <w:t>ngs should be clearly indicated</w:t>
      </w:r>
    </w:p>
    <w:p w14:paraId="66F7E3BA" w14:textId="325BBAA5"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 xml:space="preserve">Indication of whether any problems identified were considered to be of a systemic character, and of the measures taken, including a quantification of the irregular expenditure and any related financial corrections. In case no systemic problems were identified, this should </w:t>
      </w:r>
      <w:r w:rsidR="001872E6">
        <w:rPr>
          <w:rFonts w:cs="Times New Roman"/>
          <w:color w:val="000000"/>
        </w:rPr>
        <w:t>also be indicated in the report</w:t>
      </w:r>
    </w:p>
    <w:p w14:paraId="4EE855DF" w14:textId="10F4FE1F"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Information about the state of implementation of any action plans following the AA system audits carried out in relation to the accounting year to which the report refers. The financial impact should be indicated as well as the state of play of the corrections. The IFR in which the corrections have been deducted from incurred eligible e</w:t>
      </w:r>
      <w:r w:rsidR="001872E6">
        <w:rPr>
          <w:rFonts w:cs="Times New Roman"/>
          <w:color w:val="000000"/>
        </w:rPr>
        <w:t>xpenditures should be indicated</w:t>
      </w:r>
    </w:p>
    <w:p w14:paraId="42333D27" w14:textId="34BDF1F7"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Information on the follow-up of audit recommendations from systems audits from previous accounting years. In case of financial corrections, the IFR in which the corrections have been deducted from incurred eligible e</w:t>
      </w:r>
      <w:r w:rsidR="001872E6">
        <w:rPr>
          <w:rFonts w:cs="Times New Roman"/>
          <w:color w:val="000000"/>
        </w:rPr>
        <w:t>xpenditures should be indicated</w:t>
      </w:r>
    </w:p>
    <w:p w14:paraId="42BDE5A6" w14:textId="523D8154"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Level of assurance obtained following the system audits (low/average/high) and justification. This refers to the degree of assurance which can be attributed to the MCS, as to their ability to ensure the legality and regularity of expenditure. The assessment by the AA is based on the results of all system audits related to the accounting year and, if appropriate, previous accounting years, an</w:t>
      </w:r>
      <w:r w:rsidR="001872E6">
        <w:rPr>
          <w:rFonts w:cs="Times New Roman"/>
          <w:color w:val="000000"/>
        </w:rPr>
        <w:t>d the corresponding conclusions</w:t>
      </w:r>
      <w:r w:rsidRPr="009B7F14">
        <w:rPr>
          <w:rFonts w:cs="Times New Roman"/>
          <w:color w:val="000000"/>
        </w:rPr>
        <w:t xml:space="preserve"> </w:t>
      </w:r>
    </w:p>
    <w:p w14:paraId="0A1FDB0A" w14:textId="77777777" w:rsidR="00F3740C" w:rsidRPr="009B7F14" w:rsidRDefault="00FC3819" w:rsidP="00920571">
      <w:pPr>
        <w:pStyle w:val="Heading3"/>
      </w:pPr>
      <w:bookmarkStart w:id="72" w:name="_Ref462301233"/>
      <w:r w:rsidRPr="009B7F14">
        <w:t xml:space="preserve"> </w:t>
      </w:r>
      <w:r w:rsidR="00F3740C" w:rsidRPr="009B7F14">
        <w:t>Audits of projects</w:t>
      </w:r>
      <w:bookmarkEnd w:id="72"/>
    </w:p>
    <w:p w14:paraId="0322B7EC" w14:textId="73CA2A5D"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 xml:space="preserve">Details of the bodies (including the AA) that have carried out audits of projects. If part of the audits has been outsourced, the tasks outsourced to the contractor(s) should be specified. The AA is expected to explain the measures taken to supervise the work of the bodies that carried out the audits of projects on its behalf (delegated or outsourced). The AA should confirm that the work done by those bodies can be relied on for purposes of the </w:t>
      </w:r>
      <w:r w:rsidR="0087248B" w:rsidRPr="009B7F14">
        <w:rPr>
          <w:rFonts w:cs="Times New Roman"/>
          <w:color w:val="000000"/>
        </w:rPr>
        <w:t>AAR</w:t>
      </w:r>
      <w:r w:rsidRPr="009B7F14">
        <w:rPr>
          <w:rFonts w:cs="Times New Roman"/>
          <w:color w:val="000000"/>
        </w:rPr>
        <w:t xml:space="preserve"> and allow the AA t</w:t>
      </w:r>
      <w:r w:rsidR="001872E6">
        <w:rPr>
          <w:rFonts w:cs="Times New Roman"/>
          <w:color w:val="000000"/>
        </w:rPr>
        <w:t>o draw-up a valid audit opinion</w:t>
      </w:r>
    </w:p>
    <w:p w14:paraId="65F68F6E" w14:textId="7551FBB9"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 xml:space="preserve">Description of the sampling methodology applied and information whether the methodology is in accordance with the audit strategy. The audit trail for the selection </w:t>
      </w:r>
      <w:r w:rsidR="001872E6">
        <w:rPr>
          <w:rFonts w:cs="Times New Roman"/>
          <w:color w:val="000000"/>
        </w:rPr>
        <w:t>of the sample should be ensured</w:t>
      </w:r>
    </w:p>
    <w:p w14:paraId="3EE95FBB" w14:textId="69C09BDB"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 xml:space="preserve">Indication of the parameters used for statistical sampling and explanation of the underlying calculations and professional judgement applied. The sampling parameters include: materiality level, confidence level (it is recommended that for a system assessed as having high reliability the confidence level used for sampling projects shall not be less than 60%; for a system assessed as having low reliability the confidence level used for sampling projects shall not be below 90%), sampling unit (i.e. a project or a </w:t>
      </w:r>
      <w:r w:rsidR="003E0A42" w:rsidRPr="009B7F14">
        <w:rPr>
          <w:rFonts w:cs="Times New Roman"/>
          <w:color w:val="000000"/>
        </w:rPr>
        <w:t>financial report</w:t>
      </w:r>
      <w:r w:rsidRPr="009B7F14">
        <w:rPr>
          <w:rFonts w:cs="Times New Roman"/>
          <w:color w:val="000000"/>
        </w:rPr>
        <w:t xml:space="preserve"> by a </w:t>
      </w:r>
      <w:r w:rsidR="003134A1" w:rsidRPr="009B7F14">
        <w:rPr>
          <w:rFonts w:cs="Times New Roman"/>
          <w:color w:val="000000"/>
        </w:rPr>
        <w:t>PP</w:t>
      </w:r>
      <w:r w:rsidRPr="009B7F14">
        <w:rPr>
          <w:rFonts w:cs="Times New Roman"/>
          <w:color w:val="000000"/>
        </w:rPr>
        <w:t>), expected error rate, sampling interval, population value, population size, sample size, information on stratification (if applica</w:t>
      </w:r>
      <w:r w:rsidR="001872E6">
        <w:rPr>
          <w:rFonts w:cs="Times New Roman"/>
          <w:color w:val="000000"/>
        </w:rPr>
        <w:t>ble)</w:t>
      </w:r>
    </w:p>
    <w:p w14:paraId="1A0A6194" w14:textId="2FC52CA1"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 xml:space="preserve">In case of the use of non-statistical sampling, indicate the reasons for using the method in line with </w:t>
      </w:r>
      <w:r w:rsidR="00ED7943" w:rsidRPr="009B7F14">
        <w:rPr>
          <w:rFonts w:cs="Times New Roman"/>
          <w:color w:val="000000"/>
        </w:rPr>
        <w:t xml:space="preserve">Reg. </w:t>
      </w:r>
      <w:r w:rsidRPr="009B7F14">
        <w:rPr>
          <w:rFonts w:cs="Times New Roman"/>
          <w:color w:val="000000"/>
        </w:rPr>
        <w:t>Art</w:t>
      </w:r>
      <w:r w:rsidR="00ED7943" w:rsidRPr="009B7F14">
        <w:rPr>
          <w:rFonts w:cs="Times New Roman"/>
          <w:color w:val="000000"/>
        </w:rPr>
        <w:t>.</w:t>
      </w:r>
      <w:r w:rsidR="00235336" w:rsidRPr="009B7F14">
        <w:rPr>
          <w:rFonts w:cs="Times New Roman"/>
          <w:color w:val="000000"/>
        </w:rPr>
        <w:t xml:space="preserve"> 5.5.4</w:t>
      </w:r>
      <w:r w:rsidRPr="009B7F14">
        <w:rPr>
          <w:rFonts w:cs="Times New Roman"/>
          <w:color w:val="000000"/>
        </w:rPr>
        <w:t>, the percentage of expenditure covered through audits, the steps taken to ensure randomness of the sample and to ensure a sufficient size of the sample enabling the AA to draw up a valid audit opinion. In case of non-statistical sampling, the AA should describe the reasoning made to select the sample, with reference to its professional judgement, regulatory requirements and applicable internationally accepted audit standards. In particular, the AA should explain why it considers the sample representative of the population from which it was selected and enables the AA t</w:t>
      </w:r>
      <w:r w:rsidR="001872E6">
        <w:rPr>
          <w:rFonts w:cs="Times New Roman"/>
          <w:color w:val="000000"/>
        </w:rPr>
        <w:t>o draw up a valid audit opinion</w:t>
      </w:r>
    </w:p>
    <w:p w14:paraId="1B4E19AC" w14:textId="40BF555D"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 xml:space="preserve">Analysis of the principal results of the audits of projects, describing the number of sample items audited, the respective amount and types of errors by project, the nature of errors found, the stratum error rate and corresponding main deficiencies or irregularities, root causes, corrective measures proposed (including those intending to avoid these errors in subsequent payment applications) and the impact on the audit opinion. The errors reported should relate to findings disclosed in a final audit report, i.e. after the contradictory procedure with the auditee has been concluded. In duly justified cases where such contradictory procedure was not concluded before submission of the annual audit report, this could constitute a limitation in scope. The quantification of the qualification in the audit opinion may be calculated on the basis of the maximum amount of error that the AA considers reasonable on the basis of the information it has available at the time </w:t>
      </w:r>
      <w:r w:rsidR="001872E6">
        <w:rPr>
          <w:rFonts w:cs="Times New Roman"/>
          <w:color w:val="000000"/>
        </w:rPr>
        <w:t>of expressing its audit opinion</w:t>
      </w:r>
    </w:p>
    <w:p w14:paraId="1E3BAA16" w14:textId="6F8E3ADB"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 xml:space="preserve">Comparison of the total error rate and the residual total error rate with the set materiality level, in order to ascertain if the population is materially misstated and the impact on the audit opinion. On the basis of the results of the audits of projects for the purpose of the audit opinion and the annual audit report, the </w:t>
      </w:r>
      <w:r w:rsidR="00CE2884" w:rsidRPr="009B7F14">
        <w:rPr>
          <w:rFonts w:cs="Times New Roman"/>
          <w:color w:val="000000"/>
        </w:rPr>
        <w:t>AA</w:t>
      </w:r>
      <w:r w:rsidRPr="009B7F14">
        <w:rPr>
          <w:rFonts w:cs="Times New Roman"/>
          <w:color w:val="000000"/>
        </w:rPr>
        <w:t xml:space="preserve"> shall calculate a total error rate (TER), which shall be the sum of the projected random errors and, if applicable, systemic errors and uncorrected anomalous errors, divided by the population. The TER should then be compared with the materiality threshold, i.e. the maximum of 2% of the expenditure included in the population. Where corrective measures have been taken before the annual audit report is finalized, the AA should also calculate the residual TER, i.e. the TER less financial corrections applied as a result of the AA's audit of projects. The residual TER should then be compared with the materiality threshold. Errors found in systems audits (control testing) are not added to the total error, but should be corrected and disclosed in section 4 “System audi</w:t>
      </w:r>
      <w:r w:rsidR="001872E6">
        <w:rPr>
          <w:rFonts w:cs="Times New Roman"/>
          <w:color w:val="000000"/>
        </w:rPr>
        <w:t>ts” of the annual audit report.</w:t>
      </w:r>
    </w:p>
    <w:p w14:paraId="71F8D638" w14:textId="2463EC3F"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Details of whether any problems identified were considered to be systemic in nature, and the measures taken, including a quantification of the irregular expenditure and an</w:t>
      </w:r>
      <w:r w:rsidR="001872E6">
        <w:rPr>
          <w:rFonts w:cs="Times New Roman"/>
          <w:color w:val="000000"/>
        </w:rPr>
        <w:t>y related financial corrections</w:t>
      </w:r>
    </w:p>
    <w:p w14:paraId="723F2671" w14:textId="2C610595"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 xml:space="preserve">Information on the follow-up of audits of projects carried out in previous years, in particular on </w:t>
      </w:r>
      <w:r w:rsidR="001872E6">
        <w:rPr>
          <w:rFonts w:cs="Times New Roman"/>
          <w:color w:val="000000"/>
        </w:rPr>
        <w:t>deficiencies of systemic nature</w:t>
      </w:r>
    </w:p>
    <w:p w14:paraId="7BB29FE1" w14:textId="5F38534C"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Conclusions drawn from the overall results of the audits of with regard to the effectiveness of th</w:t>
      </w:r>
      <w:r w:rsidR="001872E6">
        <w:rPr>
          <w:rFonts w:cs="Times New Roman"/>
          <w:color w:val="000000"/>
        </w:rPr>
        <w:t>e management and control system</w:t>
      </w:r>
    </w:p>
    <w:p w14:paraId="0EAC6B0F" w14:textId="77777777" w:rsidR="00F3740C" w:rsidRPr="009B7F14" w:rsidRDefault="00F82024" w:rsidP="00920571">
      <w:pPr>
        <w:pStyle w:val="Heading3"/>
      </w:pPr>
      <w:r w:rsidRPr="009B7F14">
        <w:t xml:space="preserve"> </w:t>
      </w:r>
      <w:r w:rsidR="00F3740C" w:rsidRPr="009B7F14">
        <w:t>Coordination between audit bodies and supervisory work of the AA</w:t>
      </w:r>
    </w:p>
    <w:p w14:paraId="0793DCB8" w14:textId="523AF8C9"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 xml:space="preserve">Description of the procedure for coordination between the </w:t>
      </w:r>
      <w:r w:rsidR="00CE2884" w:rsidRPr="009B7F14">
        <w:rPr>
          <w:rFonts w:cs="Times New Roman"/>
          <w:color w:val="000000"/>
        </w:rPr>
        <w:t>AA</w:t>
      </w:r>
      <w:r w:rsidRPr="009B7F14">
        <w:rPr>
          <w:rFonts w:cs="Times New Roman"/>
          <w:color w:val="000000"/>
        </w:rPr>
        <w:t xml:space="preserve"> and any audit body that carries out audits as foreseen in </w:t>
      </w:r>
      <w:r w:rsidR="00ED7943" w:rsidRPr="009B7F14">
        <w:rPr>
          <w:rFonts w:cs="Times New Roman"/>
          <w:color w:val="000000"/>
        </w:rPr>
        <w:t xml:space="preserve">Reg. </w:t>
      </w:r>
      <w:r w:rsidRPr="009B7F14">
        <w:rPr>
          <w:rFonts w:cs="Times New Roman"/>
          <w:color w:val="000000"/>
        </w:rPr>
        <w:t>Art</w:t>
      </w:r>
      <w:r w:rsidR="00ED7943" w:rsidRPr="009B7F14">
        <w:rPr>
          <w:rFonts w:cs="Times New Roman"/>
          <w:color w:val="000000"/>
        </w:rPr>
        <w:t>.</w:t>
      </w:r>
      <w:r w:rsidRPr="009B7F14">
        <w:rPr>
          <w:rFonts w:cs="Times New Roman"/>
          <w:color w:val="000000"/>
        </w:rPr>
        <w:t xml:space="preserve"> </w:t>
      </w:r>
      <w:r w:rsidR="00235336" w:rsidRPr="009B7F14">
        <w:rPr>
          <w:rFonts w:cs="Times New Roman"/>
          <w:color w:val="000000"/>
        </w:rPr>
        <w:t>5.5.2</w:t>
      </w:r>
      <w:r w:rsidRPr="009B7F14">
        <w:rPr>
          <w:rFonts w:cs="Times New Roman"/>
          <w:color w:val="000000"/>
        </w:rPr>
        <w:t>, where appropriate. The procedure should cover coordination in relation to audit planning and coordination and verification of audit results with a view to reaching definitive conclusions and</w:t>
      </w:r>
      <w:r w:rsidR="001872E6">
        <w:rPr>
          <w:rFonts w:cs="Times New Roman"/>
          <w:color w:val="000000"/>
        </w:rPr>
        <w:t xml:space="preserve"> establishing the audit opinion</w:t>
      </w:r>
    </w:p>
    <w:p w14:paraId="4E873025" w14:textId="3B6708D8" w:rsidR="00F3740C" w:rsidRPr="009B7F14" w:rsidRDefault="00F3740C" w:rsidP="00E74DEC">
      <w:pPr>
        <w:pStyle w:val="ListParagraph"/>
        <w:keepNext/>
        <w:keepLines/>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 xml:space="preserve">Description of the procedure for supervision and quality review applied by the </w:t>
      </w:r>
      <w:r w:rsidR="00CE2884" w:rsidRPr="009B7F14">
        <w:rPr>
          <w:rFonts w:cs="Times New Roman"/>
          <w:color w:val="000000"/>
        </w:rPr>
        <w:t>AA</w:t>
      </w:r>
      <w:r w:rsidRPr="009B7F14">
        <w:rPr>
          <w:rFonts w:cs="Times New Roman"/>
          <w:color w:val="000000"/>
        </w:rPr>
        <w:t xml:space="preserve"> to such </w:t>
      </w:r>
      <w:r w:rsidR="004E1E9A">
        <w:rPr>
          <w:rFonts w:cs="Times New Roman"/>
          <w:color w:val="000000"/>
        </w:rPr>
        <w:t>an audit body</w:t>
      </w:r>
      <w:r w:rsidRPr="009B7F14">
        <w:rPr>
          <w:rFonts w:cs="Times New Roman"/>
          <w:color w:val="000000"/>
        </w:rPr>
        <w:t>. The description should include an overview of the supervision actually performed in relation to the accounting year, considering the existing internationally accepted audit standards or guidance</w:t>
      </w:r>
      <w:r w:rsidRPr="009B7F14">
        <w:rPr>
          <w:rStyle w:val="FootnoteReference"/>
          <w:rFonts w:cs="Times New Roman"/>
          <w:color w:val="000000"/>
        </w:rPr>
        <w:footnoteReference w:id="15"/>
      </w:r>
      <w:r w:rsidRPr="009B7F14">
        <w:rPr>
          <w:rFonts w:cs="Times New Roman"/>
          <w:color w:val="000000"/>
        </w:rPr>
        <w:t xml:space="preserve"> </w:t>
      </w:r>
    </w:p>
    <w:p w14:paraId="334EE936" w14:textId="77777777" w:rsidR="00F3740C" w:rsidRPr="009B7F14" w:rsidRDefault="00F82024" w:rsidP="00920571">
      <w:pPr>
        <w:pStyle w:val="Heading3"/>
      </w:pPr>
      <w:r w:rsidRPr="009B7F14">
        <w:t xml:space="preserve"> </w:t>
      </w:r>
      <w:r w:rsidR="00F3740C" w:rsidRPr="009B7F14">
        <w:t>Other information</w:t>
      </w:r>
    </w:p>
    <w:p w14:paraId="75559A6D" w14:textId="068ACC83" w:rsidR="00F3740C" w:rsidRPr="009B7F14" w:rsidRDefault="00F3740C" w:rsidP="00376576">
      <w:pPr>
        <w:autoSpaceDE w:val="0"/>
        <w:autoSpaceDN w:val="0"/>
        <w:adjustRightInd w:val="0"/>
        <w:spacing w:after="100" w:afterAutospacing="1"/>
        <w:rPr>
          <w:rFonts w:cs="Times New Roman"/>
          <w:color w:val="000000"/>
        </w:rPr>
      </w:pPr>
      <w:r w:rsidRPr="009B7F14">
        <w:rPr>
          <w:rFonts w:cs="Times New Roman"/>
          <w:color w:val="000000"/>
        </w:rPr>
        <w:t xml:space="preserve">Where applicable, information on reported fraud and suspicions of fraud detected in the context of the audits performed by the </w:t>
      </w:r>
      <w:r w:rsidR="00CE2884" w:rsidRPr="009B7F14">
        <w:rPr>
          <w:rFonts w:cs="Times New Roman"/>
          <w:color w:val="000000"/>
        </w:rPr>
        <w:t>AA</w:t>
      </w:r>
      <w:r w:rsidRPr="009B7F14">
        <w:rPr>
          <w:rFonts w:cs="Times New Roman"/>
          <w:color w:val="000000"/>
        </w:rPr>
        <w:t xml:space="preserve"> (including the cases reported by other bodies and related to projects audited by the </w:t>
      </w:r>
      <w:r w:rsidR="00CE2884" w:rsidRPr="009B7F14">
        <w:rPr>
          <w:rFonts w:cs="Times New Roman"/>
          <w:color w:val="000000"/>
        </w:rPr>
        <w:t>AA</w:t>
      </w:r>
      <w:r w:rsidRPr="009B7F14">
        <w:rPr>
          <w:rFonts w:cs="Times New Roman"/>
          <w:color w:val="000000"/>
        </w:rPr>
        <w:t xml:space="preserve">), together with the measures taken. If allowed by national rules for on-going investigations, the AA should gather information on the nature of the fraud and assess if this is a systemic issue and, if yes, whether mitigating actions have been taken. The state of implementation of financial corrections in relation to fraud or suspected fraud and the information about the </w:t>
      </w:r>
      <w:r w:rsidR="007A1507">
        <w:rPr>
          <w:rFonts w:cs="Times New Roman"/>
          <w:color w:val="000000"/>
        </w:rPr>
        <w:t>IFR</w:t>
      </w:r>
      <w:r w:rsidRPr="009B7F14">
        <w:rPr>
          <w:rFonts w:cs="Times New Roman"/>
          <w:color w:val="000000"/>
        </w:rPr>
        <w:t xml:space="preserve"> in which the corrections were included should be reported in the annual audit report, if applicable.</w:t>
      </w:r>
    </w:p>
    <w:p w14:paraId="70123152" w14:textId="77777777" w:rsidR="00F3740C" w:rsidRPr="009B7F14" w:rsidRDefault="003F3C10" w:rsidP="00920571">
      <w:pPr>
        <w:pStyle w:val="Heading3"/>
      </w:pPr>
      <w:r w:rsidRPr="009B7F14">
        <w:t xml:space="preserve"> </w:t>
      </w:r>
      <w:r w:rsidR="00F3740C" w:rsidRPr="009B7F14">
        <w:t>Overall level of assurance</w:t>
      </w:r>
    </w:p>
    <w:p w14:paraId="04FAFC05" w14:textId="215118BF" w:rsidR="00F3740C" w:rsidRPr="009B7F14"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 xml:space="preserve">Indication of the overall level of assurance on the proper functioning of the management and control system, and explanation of how such level was obtained from the combination of the results of the system audits and audits of projects. For the purposes of the audit opinion to be drawn-up by the AA, the assurance on the legality and regularity of expenditure and the proper functioning of the MCS is based on the combined results of both the system audits (section </w:t>
      </w:r>
      <w:r w:rsidR="00BB52FA" w:rsidRPr="009B7F14">
        <w:rPr>
          <w:rFonts w:cs="Times New Roman"/>
          <w:color w:val="000000"/>
        </w:rPr>
        <w:fldChar w:fldCharType="begin"/>
      </w:r>
      <w:r w:rsidR="00BB52FA" w:rsidRPr="009B7F14">
        <w:rPr>
          <w:rFonts w:cs="Times New Roman"/>
          <w:color w:val="000000"/>
        </w:rPr>
        <w:instrText xml:space="preserve"> REF _Ref462301196 \h </w:instrText>
      </w:r>
      <w:r w:rsidR="009B7F14">
        <w:rPr>
          <w:rFonts w:cs="Times New Roman"/>
          <w:color w:val="000000"/>
        </w:rPr>
        <w:instrText xml:space="preserve"> \* MERGEFORMAT </w:instrText>
      </w:r>
      <w:r w:rsidR="00BB52FA" w:rsidRPr="009B7F14">
        <w:rPr>
          <w:rFonts w:cs="Times New Roman"/>
          <w:color w:val="000000"/>
        </w:rPr>
      </w:r>
      <w:r w:rsidR="00BB52FA" w:rsidRPr="009B7F14">
        <w:rPr>
          <w:rFonts w:cs="Times New Roman"/>
          <w:color w:val="000000"/>
        </w:rPr>
        <w:fldChar w:fldCharType="separate"/>
      </w:r>
      <w:r w:rsidR="00215E29" w:rsidRPr="009B7F14">
        <w:t xml:space="preserve"> System audits</w:t>
      </w:r>
      <w:r w:rsidR="00BB52FA" w:rsidRPr="009B7F14">
        <w:rPr>
          <w:rFonts w:cs="Times New Roman"/>
          <w:color w:val="000000"/>
        </w:rPr>
        <w:fldChar w:fldCharType="end"/>
      </w:r>
      <w:r w:rsidR="00BB52FA" w:rsidRPr="009B7F14">
        <w:rPr>
          <w:rFonts w:cs="Times New Roman"/>
          <w:color w:val="000000"/>
        </w:rPr>
        <w:t xml:space="preserve"> </w:t>
      </w:r>
      <w:r w:rsidR="00BB52FA" w:rsidRPr="009B7F14">
        <w:rPr>
          <w:rFonts w:cs="Times New Roman"/>
          <w:color w:val="000000"/>
        </w:rPr>
        <w:fldChar w:fldCharType="begin"/>
      </w:r>
      <w:r w:rsidR="00BB52FA" w:rsidRPr="009B7F14">
        <w:rPr>
          <w:rFonts w:cs="Times New Roman"/>
          <w:color w:val="000000"/>
        </w:rPr>
        <w:instrText xml:space="preserve"> REF _Ref462301196 \p \h </w:instrText>
      </w:r>
      <w:r w:rsidR="009B7F14">
        <w:rPr>
          <w:rFonts w:cs="Times New Roman"/>
          <w:color w:val="000000"/>
        </w:rPr>
        <w:instrText xml:space="preserve"> \* MERGEFORMAT </w:instrText>
      </w:r>
      <w:r w:rsidR="00BB52FA" w:rsidRPr="009B7F14">
        <w:rPr>
          <w:rFonts w:cs="Times New Roman"/>
          <w:color w:val="000000"/>
        </w:rPr>
      </w:r>
      <w:r w:rsidR="00BB52FA" w:rsidRPr="009B7F14">
        <w:rPr>
          <w:rFonts w:cs="Times New Roman"/>
          <w:color w:val="000000"/>
        </w:rPr>
        <w:fldChar w:fldCharType="separate"/>
      </w:r>
      <w:r w:rsidR="00215E29">
        <w:rPr>
          <w:rFonts w:cs="Times New Roman"/>
          <w:color w:val="000000"/>
        </w:rPr>
        <w:t>above</w:t>
      </w:r>
      <w:r w:rsidR="00BB52FA" w:rsidRPr="009B7F14">
        <w:rPr>
          <w:rFonts w:cs="Times New Roman"/>
          <w:color w:val="000000"/>
        </w:rPr>
        <w:fldChar w:fldCharType="end"/>
      </w:r>
      <w:r w:rsidRPr="009B7F14">
        <w:rPr>
          <w:rFonts w:cs="Times New Roman"/>
          <w:color w:val="000000"/>
        </w:rPr>
        <w:t xml:space="preserve">) and the audits of projects (section </w:t>
      </w:r>
      <w:r w:rsidR="00BB52FA" w:rsidRPr="009B7F14">
        <w:rPr>
          <w:rFonts w:cs="Times New Roman"/>
          <w:color w:val="000000"/>
        </w:rPr>
        <w:fldChar w:fldCharType="begin"/>
      </w:r>
      <w:r w:rsidR="00BB52FA" w:rsidRPr="009B7F14">
        <w:rPr>
          <w:rFonts w:cs="Times New Roman"/>
          <w:color w:val="000000"/>
        </w:rPr>
        <w:instrText xml:space="preserve"> REF _Ref462301233 \h </w:instrText>
      </w:r>
      <w:r w:rsidR="009B7F14">
        <w:rPr>
          <w:rFonts w:cs="Times New Roman"/>
          <w:color w:val="000000"/>
        </w:rPr>
        <w:instrText xml:space="preserve"> \* MERGEFORMAT </w:instrText>
      </w:r>
      <w:r w:rsidR="00BB52FA" w:rsidRPr="009B7F14">
        <w:rPr>
          <w:rFonts w:cs="Times New Roman"/>
          <w:color w:val="000000"/>
        </w:rPr>
      </w:r>
      <w:r w:rsidR="00BB52FA" w:rsidRPr="009B7F14">
        <w:rPr>
          <w:rFonts w:cs="Times New Roman"/>
          <w:color w:val="000000"/>
        </w:rPr>
        <w:fldChar w:fldCharType="separate"/>
      </w:r>
      <w:r w:rsidR="00215E29" w:rsidRPr="009B7F14">
        <w:t xml:space="preserve"> Audits of projects</w:t>
      </w:r>
      <w:r w:rsidR="00BB52FA" w:rsidRPr="009B7F14">
        <w:rPr>
          <w:rFonts w:cs="Times New Roman"/>
          <w:color w:val="000000"/>
        </w:rPr>
        <w:fldChar w:fldCharType="end"/>
      </w:r>
      <w:r w:rsidR="00BB52FA" w:rsidRPr="009B7F14">
        <w:rPr>
          <w:rFonts w:cs="Times New Roman"/>
          <w:color w:val="000000"/>
        </w:rPr>
        <w:t xml:space="preserve"> </w:t>
      </w:r>
      <w:r w:rsidR="00BB52FA" w:rsidRPr="009B7F14">
        <w:rPr>
          <w:rFonts w:cs="Times New Roman"/>
          <w:color w:val="000000"/>
        </w:rPr>
        <w:fldChar w:fldCharType="begin"/>
      </w:r>
      <w:r w:rsidR="00BB52FA" w:rsidRPr="009B7F14">
        <w:rPr>
          <w:rFonts w:cs="Times New Roman"/>
          <w:color w:val="000000"/>
        </w:rPr>
        <w:instrText xml:space="preserve"> REF _Ref462301233 \p \h </w:instrText>
      </w:r>
      <w:r w:rsidR="009B7F14">
        <w:rPr>
          <w:rFonts w:cs="Times New Roman"/>
          <w:color w:val="000000"/>
        </w:rPr>
        <w:instrText xml:space="preserve"> \* MERGEFORMAT </w:instrText>
      </w:r>
      <w:r w:rsidR="00BB52FA" w:rsidRPr="009B7F14">
        <w:rPr>
          <w:rFonts w:cs="Times New Roman"/>
          <w:color w:val="000000"/>
        </w:rPr>
      </w:r>
      <w:r w:rsidR="00BB52FA" w:rsidRPr="009B7F14">
        <w:rPr>
          <w:rFonts w:cs="Times New Roman"/>
          <w:color w:val="000000"/>
        </w:rPr>
        <w:fldChar w:fldCharType="separate"/>
      </w:r>
      <w:r w:rsidR="00215E29">
        <w:rPr>
          <w:rFonts w:cs="Times New Roman"/>
          <w:color w:val="000000"/>
        </w:rPr>
        <w:t>above</w:t>
      </w:r>
      <w:r w:rsidR="00BB52FA" w:rsidRPr="009B7F14">
        <w:rPr>
          <w:rFonts w:cs="Times New Roman"/>
          <w:color w:val="000000"/>
        </w:rPr>
        <w:fldChar w:fldCharType="end"/>
      </w:r>
      <w:r w:rsidR="001872E6">
        <w:rPr>
          <w:rFonts w:cs="Times New Roman"/>
          <w:color w:val="000000"/>
        </w:rPr>
        <w:t>)</w:t>
      </w:r>
      <w:r w:rsidRPr="009B7F14">
        <w:rPr>
          <w:rFonts w:cs="Times New Roman"/>
          <w:color w:val="000000"/>
        </w:rPr>
        <w:t xml:space="preserve"> </w:t>
      </w:r>
    </w:p>
    <w:p w14:paraId="2BA30E94" w14:textId="271F89D6" w:rsidR="00154997" w:rsidRDefault="00F3740C" w:rsidP="004176FC">
      <w:pPr>
        <w:pStyle w:val="ListParagraph"/>
        <w:numPr>
          <w:ilvl w:val="0"/>
          <w:numId w:val="1"/>
        </w:numPr>
        <w:autoSpaceDE w:val="0"/>
        <w:autoSpaceDN w:val="0"/>
        <w:adjustRightInd w:val="0"/>
        <w:spacing w:after="100" w:afterAutospacing="1"/>
        <w:contextualSpacing w:val="0"/>
        <w:rPr>
          <w:rFonts w:cs="Times New Roman"/>
          <w:color w:val="000000"/>
        </w:rPr>
      </w:pPr>
      <w:r w:rsidRPr="009B7F14">
        <w:rPr>
          <w:rFonts w:cs="Times New Roman"/>
          <w:color w:val="000000"/>
        </w:rPr>
        <w:t>Assessment of any mitigating actions implemented, such as financial corrections and assess the need for any additional corrective measures necessary, both from a s</w:t>
      </w:r>
      <w:r w:rsidR="001872E6">
        <w:rPr>
          <w:rFonts w:cs="Times New Roman"/>
          <w:color w:val="000000"/>
        </w:rPr>
        <w:t>ystem and financial perspective</w:t>
      </w:r>
    </w:p>
    <w:p w14:paraId="2973178A" w14:textId="77777777" w:rsidR="00F3740C" w:rsidRPr="009B7F14" w:rsidRDefault="00CC3C4F" w:rsidP="00920571">
      <w:pPr>
        <w:pStyle w:val="Heading3"/>
      </w:pPr>
      <w:r w:rsidRPr="009B7F14">
        <w:t xml:space="preserve"> </w:t>
      </w:r>
      <w:r w:rsidR="00F3740C" w:rsidRPr="009B7F14">
        <w:t>T</w:t>
      </w:r>
      <w:r w:rsidR="00336927" w:rsidRPr="009B7F14">
        <w:t>he audit opinion</w:t>
      </w:r>
    </w:p>
    <w:p w14:paraId="4501645D" w14:textId="3BCC226A" w:rsidR="006575E5" w:rsidRPr="009B7F14" w:rsidRDefault="00F3740C" w:rsidP="006575E5">
      <w:pPr>
        <w:autoSpaceDE w:val="0"/>
        <w:autoSpaceDN w:val="0"/>
        <w:adjustRightInd w:val="0"/>
        <w:rPr>
          <w:rFonts w:cs="Times New Roman"/>
          <w:color w:val="000000"/>
        </w:rPr>
      </w:pPr>
      <w:r w:rsidRPr="009B7F14">
        <w:rPr>
          <w:rFonts w:cs="Times New Roman"/>
          <w:color w:val="000000"/>
        </w:rPr>
        <w:t xml:space="preserve">The audit opinion is based on the conclusions drawn from the audit evidence obtained. Three types of </w:t>
      </w:r>
      <w:r w:rsidR="001872E6">
        <w:rPr>
          <w:rFonts w:cs="Times New Roman"/>
          <w:color w:val="000000"/>
        </w:rPr>
        <w:t>the audit opinion can be issued:</w:t>
      </w:r>
      <w:r w:rsidR="005070C3" w:rsidRPr="009B7F14">
        <w:rPr>
          <w:rFonts w:cs="Times New Roman"/>
          <w:color w:val="000000"/>
        </w:rPr>
        <w:t xml:space="preserve"> unqualified opinion, qualified opinion, and adverse opinion.</w:t>
      </w:r>
      <w:r w:rsidR="006575E5">
        <w:rPr>
          <w:rFonts w:cs="Times New Roman"/>
          <w:color w:val="000000"/>
        </w:rPr>
        <w:t xml:space="preserve"> </w:t>
      </w:r>
      <w:r w:rsidR="006575E5" w:rsidRPr="009B7F14">
        <w:rPr>
          <w:rFonts w:cs="Times New Roman"/>
          <w:color w:val="000000"/>
        </w:rPr>
        <w:t>The AA may also include emphasis of matter, not affecting its opinion, as established by internationally accepted auditing standards. A disclaimer of opinion can be</w:t>
      </w:r>
      <w:r w:rsidR="006575E5">
        <w:rPr>
          <w:rFonts w:cs="Times New Roman"/>
          <w:color w:val="000000"/>
        </w:rPr>
        <w:t xml:space="preserve"> foreseen in exceptional cases.</w:t>
      </w:r>
    </w:p>
    <w:p w14:paraId="58A657CE" w14:textId="0E330A42" w:rsidR="00F3740C" w:rsidRPr="009B7F14" w:rsidRDefault="00F3740C" w:rsidP="006575E5">
      <w:pPr>
        <w:autoSpaceDE w:val="0"/>
        <w:autoSpaceDN w:val="0"/>
        <w:adjustRightInd w:val="0"/>
        <w:rPr>
          <w:rFonts w:cs="Times New Roman"/>
          <w:color w:val="000000"/>
        </w:rPr>
      </w:pPr>
      <w:r w:rsidRPr="009B7F14">
        <w:rPr>
          <w:rFonts w:cs="Times New Roman"/>
          <w:color w:val="000000"/>
        </w:rPr>
        <w:t>In particular in cases of qualified or adverse opinion, the AA is expected to indicate the corrective actions planned or taken by the different authorities involved. The AA should follow up if these actions have actually been implemented and report the following year on the implementa</w:t>
      </w:r>
      <w:r w:rsidR="00AB7FAC" w:rsidRPr="009B7F14">
        <w:rPr>
          <w:rFonts w:cs="Times New Roman"/>
          <w:color w:val="000000"/>
        </w:rPr>
        <w:t>tion in sectio</w:t>
      </w:r>
      <w:r w:rsidR="006575E5">
        <w:rPr>
          <w:rFonts w:cs="Times New Roman"/>
          <w:color w:val="000000"/>
        </w:rPr>
        <w:t>n 4 and 5 of the a</w:t>
      </w:r>
      <w:r w:rsidRPr="009B7F14">
        <w:rPr>
          <w:rFonts w:cs="Times New Roman"/>
          <w:color w:val="000000"/>
        </w:rPr>
        <w:t>nnual audit report.</w:t>
      </w:r>
    </w:p>
    <w:p w14:paraId="008352A1" w14:textId="0DE5C530" w:rsidR="00F3740C" w:rsidRDefault="00F3740C" w:rsidP="00376576">
      <w:pPr>
        <w:autoSpaceDE w:val="0"/>
        <w:autoSpaceDN w:val="0"/>
        <w:adjustRightInd w:val="0"/>
        <w:rPr>
          <w:rFonts w:cs="Times New Roman"/>
          <w:color w:val="000000"/>
        </w:rPr>
      </w:pPr>
      <w:r w:rsidRPr="009B7F14">
        <w:rPr>
          <w:rFonts w:cs="Times New Roman"/>
          <w:color w:val="000000"/>
        </w:rPr>
        <w:t>While establishing the audit opinions and setting the levels of assurance, appropriate professional judgement should be applied in order to decide whether the gravity of findings justifies a qualified or an adverse opinion.</w:t>
      </w:r>
    </w:p>
    <w:p w14:paraId="486C9647" w14:textId="5073FD7E" w:rsidR="00154997" w:rsidRDefault="00154997" w:rsidP="00154997">
      <w:pPr>
        <w:autoSpaceDE w:val="0"/>
        <w:autoSpaceDN w:val="0"/>
        <w:adjustRightInd w:val="0"/>
        <w:rPr>
          <w:rFonts w:cs="Times New Roman"/>
          <w:color w:val="000000"/>
        </w:rPr>
      </w:pPr>
      <w:r w:rsidRPr="009B7F14">
        <w:rPr>
          <w:rFonts w:cs="Times New Roman"/>
          <w:color w:val="000000"/>
        </w:rPr>
        <w:t>In exceptional cases, the AA can present a disclaimer of opinion. This is the case only when the AA is not able to audit the expenditure declared or the functioning of the management and control system due to external factors outside the responsibilities of the AA. In such cases, the AA should explain why it could not reach an audit opinion</w:t>
      </w:r>
      <w:r>
        <w:rPr>
          <w:rFonts w:cs="Times New Roman"/>
          <w:color w:val="000000"/>
        </w:rPr>
        <w:t>.</w:t>
      </w:r>
    </w:p>
    <w:p w14:paraId="1D5E9482" w14:textId="408C98DA" w:rsidR="00154997" w:rsidRDefault="00154997" w:rsidP="00C27F98">
      <w:pPr>
        <w:autoSpaceDE w:val="0"/>
        <w:autoSpaceDN w:val="0"/>
        <w:adjustRightInd w:val="0"/>
        <w:rPr>
          <w:rFonts w:cs="Times New Roman"/>
          <w:color w:val="000000"/>
        </w:rPr>
      </w:pPr>
      <w:r>
        <w:rPr>
          <w:rFonts w:cs="Times New Roman"/>
          <w:color w:val="000000"/>
        </w:rPr>
        <w:t xml:space="preserve">Examples of the audit opinions are presented below. </w:t>
      </w:r>
      <w:r>
        <w:rPr>
          <w:rFonts w:cs="Times New Roman"/>
          <w:color w:val="000000"/>
        </w:rPr>
        <w:br w:type="page"/>
      </w:r>
    </w:p>
    <w:p w14:paraId="571D39D3" w14:textId="3C913837" w:rsidR="006575E5" w:rsidRPr="00590372" w:rsidRDefault="00154997" w:rsidP="00376576">
      <w:pPr>
        <w:autoSpaceDE w:val="0"/>
        <w:autoSpaceDN w:val="0"/>
        <w:adjustRightInd w:val="0"/>
        <w:rPr>
          <w:rFonts w:eastAsia="AGaramondPro-Regular" w:cs="Arial"/>
          <w:i/>
          <w:color w:val="ED7D31" w:themeColor="accent2"/>
          <w:sz w:val="18"/>
          <w:szCs w:val="18"/>
        </w:rPr>
      </w:pPr>
      <w:r w:rsidRPr="00590372">
        <w:rPr>
          <w:rFonts w:eastAsia="AGaramondPro-Regular" w:cs="Arial"/>
          <w:i/>
          <w:noProof/>
          <w:color w:val="ED7D31" w:themeColor="accent2"/>
          <w:sz w:val="18"/>
          <w:szCs w:val="18"/>
          <w:lang w:eastAsia="en-GB"/>
        </w:rPr>
        <mc:AlternateContent>
          <mc:Choice Requires="wps">
            <w:drawing>
              <wp:anchor distT="45720" distB="45720" distL="114300" distR="114300" simplePos="0" relativeHeight="251769856" behindDoc="1" locked="0" layoutInCell="1" allowOverlap="1" wp14:anchorId="2C5D421A" wp14:editId="4F582D6B">
                <wp:simplePos x="0" y="0"/>
                <wp:positionH relativeFrom="margin">
                  <wp:posOffset>-135255</wp:posOffset>
                </wp:positionH>
                <wp:positionV relativeFrom="paragraph">
                  <wp:posOffset>0</wp:posOffset>
                </wp:positionV>
                <wp:extent cx="5810250" cy="8666480"/>
                <wp:effectExtent l="0" t="0" r="19050" b="20320"/>
                <wp:wrapTopAndBottom/>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8666480"/>
                        </a:xfrm>
                        <a:prstGeom prst="rect">
                          <a:avLst/>
                        </a:prstGeom>
                        <a:solidFill>
                          <a:srgbClr val="FFFFFF"/>
                        </a:solidFill>
                        <a:ln w="9525">
                          <a:solidFill>
                            <a:srgbClr val="000000"/>
                          </a:solidFill>
                          <a:miter lim="800000"/>
                          <a:headEnd/>
                          <a:tailEnd/>
                        </a:ln>
                      </wps:spPr>
                      <wps:txbx>
                        <w:txbxContent>
                          <w:p w14:paraId="5356B650" w14:textId="77777777" w:rsidR="00A87AB3" w:rsidRDefault="00A87AB3" w:rsidP="00154997">
                            <w:pPr>
                              <w:rPr>
                                <w:b/>
                                <w:sz w:val="18"/>
                                <w:szCs w:val="18"/>
                              </w:rPr>
                            </w:pPr>
                            <w:r w:rsidRPr="00A33631">
                              <w:rPr>
                                <w:b/>
                                <w:sz w:val="18"/>
                                <w:szCs w:val="18"/>
                              </w:rPr>
                              <w:t>Example</w:t>
                            </w:r>
                            <w:r>
                              <w:rPr>
                                <w:b/>
                                <w:sz w:val="18"/>
                                <w:szCs w:val="18"/>
                              </w:rPr>
                              <w:t>s</w:t>
                            </w:r>
                            <w:r w:rsidRPr="00A33631">
                              <w:rPr>
                                <w:b/>
                                <w:sz w:val="18"/>
                                <w:szCs w:val="18"/>
                              </w:rPr>
                              <w:t>:</w:t>
                            </w:r>
                          </w:p>
                          <w:p w14:paraId="409D04C9" w14:textId="77777777" w:rsidR="00A87AB3" w:rsidRPr="001B2932" w:rsidRDefault="00A87AB3" w:rsidP="00154997">
                            <w:pPr>
                              <w:rPr>
                                <w:sz w:val="18"/>
                                <w:szCs w:val="18"/>
                                <w:u w:val="single"/>
                              </w:rPr>
                            </w:pPr>
                            <w:r w:rsidRPr="001B2932">
                              <w:rPr>
                                <w:sz w:val="18"/>
                                <w:szCs w:val="18"/>
                                <w:u w:val="single"/>
                              </w:rPr>
                              <w:t>Unqualified opinion:</w:t>
                            </w:r>
                          </w:p>
                          <w:p w14:paraId="62CD782C" w14:textId="635A6A86" w:rsidR="00A87AB3" w:rsidRPr="000E6EB5" w:rsidRDefault="00A87AB3" w:rsidP="00154997">
                            <w:pPr>
                              <w:autoSpaceDE w:val="0"/>
                              <w:autoSpaceDN w:val="0"/>
                              <w:adjustRightInd w:val="0"/>
                              <w:spacing w:after="100" w:afterAutospacing="1"/>
                              <w:rPr>
                                <w:rFonts w:cs="Times New Roman"/>
                                <w:i/>
                                <w:color w:val="000000"/>
                                <w:sz w:val="18"/>
                                <w:szCs w:val="18"/>
                              </w:rPr>
                            </w:pPr>
                            <w:r w:rsidRPr="001B2932">
                              <w:rPr>
                                <w:rFonts w:cs="Times New Roman"/>
                                <w:i/>
                                <w:color w:val="002060"/>
                                <w:sz w:val="18"/>
                                <w:szCs w:val="18"/>
                              </w:rPr>
                              <w:t xml:space="preserve">In my opinion, and based on the audit work performed the management and control system functions effectively, so as to provide a reasonable assurance that statements of actual expenditure incurred presented to </w:t>
                            </w:r>
                            <w:r w:rsidRPr="000E6EB5">
                              <w:rPr>
                                <w:rFonts w:cs="Times New Roman"/>
                                <w:i/>
                                <w:color w:val="002060"/>
                                <w:sz w:val="18"/>
                                <w:szCs w:val="18"/>
                              </w:rPr>
                              <w:t>the FMC/NMFA are correct and as a consequence reasonable assurance that the underlying transactions are legal and regular.</w:t>
                            </w:r>
                          </w:p>
                          <w:p w14:paraId="7F881210" w14:textId="77777777" w:rsidR="00A87AB3" w:rsidRPr="000E6EB5" w:rsidRDefault="00A87AB3" w:rsidP="00154997">
                            <w:pPr>
                              <w:rPr>
                                <w:sz w:val="18"/>
                                <w:szCs w:val="18"/>
                                <w:u w:val="single"/>
                              </w:rPr>
                            </w:pPr>
                            <w:r w:rsidRPr="000E6EB5">
                              <w:rPr>
                                <w:sz w:val="18"/>
                                <w:szCs w:val="18"/>
                                <w:u w:val="single"/>
                              </w:rPr>
                              <w:t>Qualified opinion:</w:t>
                            </w:r>
                          </w:p>
                          <w:p w14:paraId="2229E71A" w14:textId="0C7A82DE" w:rsidR="00A87AB3" w:rsidRPr="000E6EB5" w:rsidRDefault="00A87AB3" w:rsidP="00154997">
                            <w:pPr>
                              <w:autoSpaceDE w:val="0"/>
                              <w:autoSpaceDN w:val="0"/>
                              <w:adjustRightInd w:val="0"/>
                              <w:rPr>
                                <w:rFonts w:cs="Times New Roman"/>
                                <w:i/>
                                <w:color w:val="002060"/>
                                <w:sz w:val="18"/>
                                <w:szCs w:val="18"/>
                              </w:rPr>
                            </w:pPr>
                            <w:r w:rsidRPr="000E6EB5">
                              <w:rPr>
                                <w:rFonts w:cs="Times New Roman"/>
                                <w:i/>
                                <w:color w:val="002060"/>
                                <w:sz w:val="18"/>
                                <w:szCs w:val="18"/>
                              </w:rPr>
                              <w:t>In my opinion, and based on the audit work performed the management and control system functions effectively, so as to provide a reasonable assurance that statements of actual expenditure incurred presented to the FMC/NMFA are correct and as a consequence reasonable assurance that the underlying transactions are legal and regular except in the following aspects:</w:t>
                            </w:r>
                          </w:p>
                          <w:p w14:paraId="3C938A84" w14:textId="77777777" w:rsidR="00A87AB3" w:rsidRPr="000E6EB5" w:rsidRDefault="00A87AB3" w:rsidP="00154997">
                            <w:pPr>
                              <w:autoSpaceDE w:val="0"/>
                              <w:autoSpaceDN w:val="0"/>
                              <w:adjustRightInd w:val="0"/>
                              <w:rPr>
                                <w:rFonts w:cs="Times New Roman"/>
                                <w:i/>
                                <w:color w:val="002060"/>
                                <w:sz w:val="18"/>
                                <w:szCs w:val="18"/>
                              </w:rPr>
                            </w:pPr>
                            <w:r w:rsidRPr="000E6EB5">
                              <w:rPr>
                                <w:rFonts w:cs="Times New Roman"/>
                                <w:i/>
                                <w:color w:val="002060"/>
                                <w:sz w:val="18"/>
                                <w:szCs w:val="18"/>
                              </w:rPr>
                              <w:t>In relation to material matters related to the legality and regularity of the expenditure: …</w:t>
                            </w:r>
                          </w:p>
                          <w:p w14:paraId="0335BB08" w14:textId="77777777" w:rsidR="00A87AB3" w:rsidRPr="000E6EB5" w:rsidRDefault="00A87AB3" w:rsidP="00154997">
                            <w:pPr>
                              <w:autoSpaceDE w:val="0"/>
                              <w:autoSpaceDN w:val="0"/>
                              <w:adjustRightInd w:val="0"/>
                              <w:rPr>
                                <w:rFonts w:cs="Times New Roman"/>
                                <w:i/>
                                <w:color w:val="002060"/>
                                <w:sz w:val="18"/>
                                <w:szCs w:val="18"/>
                              </w:rPr>
                            </w:pPr>
                            <w:r w:rsidRPr="000E6EB5">
                              <w:rPr>
                                <w:rFonts w:cs="Times New Roman"/>
                                <w:i/>
                                <w:color w:val="002060"/>
                                <w:sz w:val="18"/>
                                <w:szCs w:val="18"/>
                              </w:rPr>
                              <w:t>and/or [delete as appropriate] in relation to material matters related to the functioning of the management and control system: …</w:t>
                            </w:r>
                          </w:p>
                          <w:p w14:paraId="3F54C38D" w14:textId="77777777" w:rsidR="00A87AB3" w:rsidRPr="000E6EB5" w:rsidRDefault="00A87AB3" w:rsidP="00154997">
                            <w:pPr>
                              <w:autoSpaceDE w:val="0"/>
                              <w:autoSpaceDN w:val="0"/>
                              <w:adjustRightInd w:val="0"/>
                              <w:rPr>
                                <w:rFonts w:cs="Times New Roman"/>
                                <w:i/>
                                <w:color w:val="002060"/>
                                <w:sz w:val="18"/>
                                <w:szCs w:val="18"/>
                              </w:rPr>
                            </w:pPr>
                            <w:r w:rsidRPr="000E6EB5">
                              <w:rPr>
                                <w:rFonts w:cs="Times New Roman"/>
                                <w:i/>
                                <w:color w:val="002060"/>
                                <w:sz w:val="18"/>
                                <w:szCs w:val="18"/>
                              </w:rPr>
                              <w:t>Therefore, I estimate that the impact of the qualification(s) is [limited] / [significant]. [Delete as appropriate]</w:t>
                            </w:r>
                          </w:p>
                          <w:p w14:paraId="31DEC10E" w14:textId="77777777" w:rsidR="00A87AB3" w:rsidRPr="000E6EB5" w:rsidRDefault="00A87AB3" w:rsidP="00154997">
                            <w:pPr>
                              <w:autoSpaceDE w:val="0"/>
                              <w:autoSpaceDN w:val="0"/>
                              <w:adjustRightInd w:val="0"/>
                              <w:rPr>
                                <w:rFonts w:cs="Times New Roman"/>
                                <w:i/>
                                <w:color w:val="002060"/>
                                <w:sz w:val="18"/>
                                <w:szCs w:val="18"/>
                              </w:rPr>
                            </w:pPr>
                            <w:r w:rsidRPr="000E6EB5">
                              <w:rPr>
                                <w:rFonts w:cs="Times New Roman"/>
                                <w:i/>
                                <w:color w:val="002060"/>
                                <w:sz w:val="18"/>
                                <w:szCs w:val="18"/>
                              </w:rPr>
                              <w:t>This impact corresponds to …… [Amount in € and %] of the total expenditure declared. The Donor States contribution affected is thus … [amount in €].</w:t>
                            </w:r>
                          </w:p>
                          <w:p w14:paraId="49A115D8" w14:textId="77777777" w:rsidR="00A87AB3" w:rsidRPr="000E6EB5" w:rsidRDefault="00A87AB3" w:rsidP="00154997">
                            <w:pPr>
                              <w:autoSpaceDE w:val="0"/>
                              <w:autoSpaceDN w:val="0"/>
                              <w:adjustRightInd w:val="0"/>
                              <w:rPr>
                                <w:rFonts w:cs="Times New Roman"/>
                                <w:color w:val="000000"/>
                                <w:sz w:val="18"/>
                                <w:szCs w:val="18"/>
                              </w:rPr>
                            </w:pPr>
                            <w:r w:rsidRPr="000E6EB5">
                              <w:rPr>
                                <w:rFonts w:cs="Times New Roman"/>
                                <w:color w:val="000000"/>
                                <w:sz w:val="18"/>
                                <w:szCs w:val="18"/>
                              </w:rPr>
                              <w:t>The AA should:</w:t>
                            </w:r>
                          </w:p>
                          <w:p w14:paraId="43CFDE8E" w14:textId="29BBAF84" w:rsidR="00A87AB3" w:rsidRPr="000E6EB5" w:rsidRDefault="00A87AB3" w:rsidP="009F01EE">
                            <w:pPr>
                              <w:pStyle w:val="ListParagraph"/>
                              <w:numPr>
                                <w:ilvl w:val="0"/>
                                <w:numId w:val="25"/>
                              </w:numPr>
                              <w:autoSpaceDE w:val="0"/>
                              <w:autoSpaceDN w:val="0"/>
                              <w:adjustRightInd w:val="0"/>
                              <w:spacing w:after="0"/>
                              <w:ind w:left="360" w:hanging="360"/>
                              <w:rPr>
                                <w:rFonts w:cs="Times New Roman"/>
                                <w:color w:val="000000"/>
                                <w:sz w:val="18"/>
                                <w:szCs w:val="18"/>
                              </w:rPr>
                            </w:pPr>
                            <w:r w:rsidRPr="000E6EB5">
                              <w:rPr>
                                <w:rFonts w:cs="Times New Roman"/>
                                <w:color w:val="000000"/>
                                <w:sz w:val="18"/>
                                <w:szCs w:val="18"/>
                              </w:rPr>
                              <w:t>Detail and explain the qualifications</w:t>
                            </w:r>
                          </w:p>
                          <w:p w14:paraId="1899B452" w14:textId="3047E647" w:rsidR="00A87AB3" w:rsidRPr="000E6EB5" w:rsidRDefault="00A87AB3" w:rsidP="009F01EE">
                            <w:pPr>
                              <w:pStyle w:val="ListParagraph"/>
                              <w:numPr>
                                <w:ilvl w:val="0"/>
                                <w:numId w:val="25"/>
                              </w:numPr>
                              <w:autoSpaceDE w:val="0"/>
                              <w:autoSpaceDN w:val="0"/>
                              <w:adjustRightInd w:val="0"/>
                              <w:spacing w:after="0"/>
                              <w:ind w:left="360" w:hanging="360"/>
                              <w:rPr>
                                <w:rFonts w:cs="Times New Roman"/>
                                <w:color w:val="000000"/>
                                <w:sz w:val="18"/>
                                <w:szCs w:val="18"/>
                              </w:rPr>
                            </w:pPr>
                            <w:r w:rsidRPr="000E6EB5">
                              <w:rPr>
                                <w:rFonts w:cs="Times New Roman"/>
                                <w:color w:val="000000"/>
                                <w:sz w:val="18"/>
                                <w:szCs w:val="18"/>
                              </w:rPr>
                              <w:t>Estimate their impact: limited or significant</w:t>
                            </w:r>
                          </w:p>
                          <w:p w14:paraId="5BA7733F" w14:textId="043591C8" w:rsidR="00A87AB3" w:rsidRPr="000E6EB5" w:rsidRDefault="00A87AB3" w:rsidP="009F01EE">
                            <w:pPr>
                              <w:pStyle w:val="ListParagraph"/>
                              <w:numPr>
                                <w:ilvl w:val="0"/>
                                <w:numId w:val="25"/>
                              </w:numPr>
                              <w:autoSpaceDE w:val="0"/>
                              <w:autoSpaceDN w:val="0"/>
                              <w:adjustRightInd w:val="0"/>
                              <w:spacing w:after="0"/>
                              <w:ind w:left="360" w:hanging="360"/>
                              <w:rPr>
                                <w:rFonts w:cs="Times New Roman"/>
                                <w:color w:val="000000"/>
                                <w:sz w:val="18"/>
                                <w:szCs w:val="18"/>
                              </w:rPr>
                            </w:pPr>
                            <w:r w:rsidRPr="000E6EB5">
                              <w:rPr>
                                <w:rFonts w:cs="Times New Roman"/>
                                <w:color w:val="000000"/>
                                <w:sz w:val="18"/>
                                <w:szCs w:val="18"/>
                              </w:rPr>
                              <w:t>Quantify the impact</w:t>
                            </w:r>
                          </w:p>
                          <w:p w14:paraId="41FD2056" w14:textId="77777777" w:rsidR="00A87AB3" w:rsidRPr="000E6EB5" w:rsidRDefault="00A87AB3" w:rsidP="00154997">
                            <w:pPr>
                              <w:autoSpaceDE w:val="0"/>
                              <w:autoSpaceDN w:val="0"/>
                              <w:adjustRightInd w:val="0"/>
                              <w:spacing w:after="0"/>
                              <w:rPr>
                                <w:rFonts w:cs="Times New Roman"/>
                                <w:color w:val="000000"/>
                                <w:sz w:val="18"/>
                                <w:szCs w:val="18"/>
                              </w:rPr>
                            </w:pPr>
                            <w:r w:rsidRPr="000E6EB5">
                              <w:rPr>
                                <w:rFonts w:cs="Times New Roman"/>
                                <w:color w:val="000000"/>
                                <w:sz w:val="18"/>
                                <w:szCs w:val="18"/>
                              </w:rPr>
                              <w:t xml:space="preserve">The estimation of the impact of a qualification as "limited" is deemed appropriate when it relates to irregularities (not yet corrected) corresponding to expenditure above 2% but below or equal to 5% of the total </w:t>
                            </w:r>
                            <w:r w:rsidRPr="000E6EB5">
                              <w:rPr>
                                <w:rFonts w:cs="Times New Roman"/>
                                <w:sz w:val="18"/>
                                <w:szCs w:val="18"/>
                              </w:rPr>
                              <w:t xml:space="preserve">expenditure certified in these accounts. If those irregularities exceed 5% of the total expenditure certified in these accounts, the corresponding qualification should be estimated as "significant". The same reasoning applies when </w:t>
                            </w:r>
                            <w:r w:rsidRPr="000E6EB5">
                              <w:rPr>
                                <w:rFonts w:cs="Times New Roman"/>
                                <w:color w:val="000000"/>
                                <w:sz w:val="18"/>
                                <w:szCs w:val="18"/>
                              </w:rPr>
                              <w:t>the exact amount of the irregularities cannot be quantified precisely by the AA and a flat rate is used; this may be the case of system deficiencies.</w:t>
                            </w:r>
                          </w:p>
                          <w:p w14:paraId="26CE6507" w14:textId="77777777" w:rsidR="00A87AB3" w:rsidRPr="000E6EB5" w:rsidRDefault="00A87AB3" w:rsidP="00154997">
                            <w:pPr>
                              <w:autoSpaceDE w:val="0"/>
                              <w:autoSpaceDN w:val="0"/>
                              <w:adjustRightInd w:val="0"/>
                              <w:spacing w:before="0"/>
                              <w:rPr>
                                <w:rFonts w:cs="Times New Roman"/>
                                <w:color w:val="000000"/>
                                <w:sz w:val="18"/>
                                <w:szCs w:val="18"/>
                              </w:rPr>
                            </w:pPr>
                            <w:r w:rsidRPr="000E6EB5">
                              <w:rPr>
                                <w:rFonts w:cs="Times New Roman"/>
                                <w:color w:val="000000"/>
                                <w:sz w:val="18"/>
                                <w:szCs w:val="18"/>
                              </w:rPr>
                              <w:t>The AA should make very clear whether the qualifications relate to the legality and regularity of expenditure or the management and control systems.</w:t>
                            </w:r>
                          </w:p>
                          <w:p w14:paraId="57067297" w14:textId="77777777" w:rsidR="00A87AB3" w:rsidRPr="000E6EB5" w:rsidRDefault="00A87AB3" w:rsidP="00154997">
                            <w:pPr>
                              <w:rPr>
                                <w:sz w:val="18"/>
                                <w:szCs w:val="18"/>
                                <w:u w:val="single"/>
                              </w:rPr>
                            </w:pPr>
                            <w:r w:rsidRPr="000E6EB5">
                              <w:rPr>
                                <w:sz w:val="18"/>
                                <w:szCs w:val="18"/>
                                <w:u w:val="single"/>
                              </w:rPr>
                              <w:t>Adverse opinion:</w:t>
                            </w:r>
                          </w:p>
                          <w:p w14:paraId="2D66FBC6" w14:textId="07EA3C61" w:rsidR="00A87AB3" w:rsidRPr="000E6EB5" w:rsidRDefault="00A87AB3" w:rsidP="00154997">
                            <w:pPr>
                              <w:autoSpaceDE w:val="0"/>
                              <w:autoSpaceDN w:val="0"/>
                              <w:adjustRightInd w:val="0"/>
                              <w:rPr>
                                <w:rFonts w:cs="Times New Roman"/>
                                <w:i/>
                                <w:color w:val="002060"/>
                                <w:sz w:val="18"/>
                                <w:szCs w:val="18"/>
                              </w:rPr>
                            </w:pPr>
                            <w:r w:rsidRPr="000E6EB5">
                              <w:rPr>
                                <w:rFonts w:cs="Times New Roman"/>
                                <w:i/>
                                <w:color w:val="002060"/>
                                <w:sz w:val="18"/>
                                <w:szCs w:val="18"/>
                              </w:rPr>
                              <w:t>In my opinion, and based on the audit work performed the management and control system does not function effectively, so as to provide a reasonable assurance that statements of actual expenditure incurred presented to the FMC/NMFA are correct and as a consequence reasonable assurance that the underlying transactions are legal and regular.</w:t>
                            </w:r>
                          </w:p>
                          <w:p w14:paraId="62D5AA80" w14:textId="77777777" w:rsidR="00A87AB3" w:rsidRPr="000E6EB5" w:rsidRDefault="00A87AB3" w:rsidP="00154997">
                            <w:pPr>
                              <w:autoSpaceDE w:val="0"/>
                              <w:autoSpaceDN w:val="0"/>
                              <w:adjustRightInd w:val="0"/>
                              <w:rPr>
                                <w:rFonts w:cs="Times New Roman"/>
                                <w:i/>
                                <w:color w:val="002060"/>
                                <w:sz w:val="18"/>
                                <w:szCs w:val="18"/>
                              </w:rPr>
                            </w:pPr>
                            <w:r w:rsidRPr="000E6EB5">
                              <w:rPr>
                                <w:rFonts w:cs="Times New Roman"/>
                                <w:i/>
                                <w:color w:val="002060"/>
                                <w:sz w:val="18"/>
                                <w:szCs w:val="18"/>
                              </w:rPr>
                              <w:t>This adverse opinion is based on the following aspects:</w:t>
                            </w:r>
                          </w:p>
                          <w:p w14:paraId="39FAECF5" w14:textId="77777777" w:rsidR="00A87AB3" w:rsidRPr="001B2932" w:rsidRDefault="00A87AB3" w:rsidP="00154997">
                            <w:pPr>
                              <w:autoSpaceDE w:val="0"/>
                              <w:autoSpaceDN w:val="0"/>
                              <w:adjustRightInd w:val="0"/>
                              <w:rPr>
                                <w:rFonts w:cs="Times New Roman"/>
                                <w:i/>
                                <w:color w:val="002060"/>
                                <w:sz w:val="18"/>
                                <w:szCs w:val="18"/>
                              </w:rPr>
                            </w:pPr>
                            <w:r w:rsidRPr="000E6EB5">
                              <w:rPr>
                                <w:rFonts w:cs="Times New Roman"/>
                                <w:i/>
                                <w:color w:val="002060"/>
                                <w:sz w:val="18"/>
                                <w:szCs w:val="18"/>
                              </w:rPr>
                              <w:t>In relation to material matters related to the legality and</w:t>
                            </w:r>
                            <w:r w:rsidRPr="001B2932">
                              <w:rPr>
                                <w:rFonts w:cs="Times New Roman"/>
                                <w:i/>
                                <w:color w:val="002060"/>
                                <w:sz w:val="18"/>
                                <w:szCs w:val="18"/>
                              </w:rPr>
                              <w:t xml:space="preserve"> regularity of the expenditure: …</w:t>
                            </w:r>
                          </w:p>
                          <w:p w14:paraId="6A614187" w14:textId="77777777" w:rsidR="00A87AB3" w:rsidRPr="001B2932" w:rsidRDefault="00A87AB3" w:rsidP="00154997">
                            <w:pPr>
                              <w:autoSpaceDE w:val="0"/>
                              <w:autoSpaceDN w:val="0"/>
                              <w:adjustRightInd w:val="0"/>
                              <w:rPr>
                                <w:rFonts w:cs="Times New Roman"/>
                                <w:i/>
                                <w:color w:val="002060"/>
                                <w:sz w:val="18"/>
                                <w:szCs w:val="18"/>
                              </w:rPr>
                            </w:pPr>
                            <w:r w:rsidRPr="001B2932">
                              <w:rPr>
                                <w:rFonts w:cs="Times New Roman"/>
                                <w:i/>
                                <w:color w:val="002060"/>
                                <w:sz w:val="18"/>
                                <w:szCs w:val="18"/>
                              </w:rPr>
                              <w:t>and/or [delete as appropriate] in relation to material matters related to the functioning of the management and control system: …</w:t>
                            </w:r>
                          </w:p>
                          <w:p w14:paraId="301BBFAC" w14:textId="77777777" w:rsidR="00A87AB3" w:rsidRPr="001B2932" w:rsidRDefault="00A87AB3" w:rsidP="00154997">
                            <w:pPr>
                              <w:rPr>
                                <w:sz w:val="18"/>
                                <w:szCs w:val="18"/>
                                <w:u w:val="single"/>
                              </w:rPr>
                            </w:pPr>
                            <w:r w:rsidRPr="001B2932">
                              <w:rPr>
                                <w:sz w:val="18"/>
                                <w:szCs w:val="18"/>
                                <w:u w:val="single"/>
                              </w:rPr>
                              <w:t>Disclaimer of opinion:</w:t>
                            </w:r>
                          </w:p>
                          <w:p w14:paraId="3394E4FB" w14:textId="77777777" w:rsidR="00A87AB3" w:rsidRPr="001B2932" w:rsidRDefault="00A87AB3" w:rsidP="00154997">
                            <w:pPr>
                              <w:autoSpaceDE w:val="0"/>
                              <w:autoSpaceDN w:val="0"/>
                              <w:adjustRightInd w:val="0"/>
                              <w:rPr>
                                <w:rFonts w:cs="Times New Roman"/>
                                <w:i/>
                                <w:color w:val="002060"/>
                                <w:sz w:val="18"/>
                                <w:szCs w:val="18"/>
                              </w:rPr>
                            </w:pPr>
                            <w:r w:rsidRPr="001B2932">
                              <w:rPr>
                                <w:rFonts w:cs="Times New Roman"/>
                                <w:i/>
                                <w:color w:val="002060"/>
                                <w:sz w:val="18"/>
                                <w:szCs w:val="18"/>
                              </w:rPr>
                              <w:t>Because of the significance of the matter described in the scope limitation paragraph above, I have not been able to obtain sufficient appropriate audit evidence to provide a basis for an audit opinion. Accordingly, I do not express an opinion whether the management and control system functions effectively, so as to provide a reasonable assurance that statements of actual expenditure incurred presented to the FMO are correct and as a consequence reasonable assurance that the underlying transactions are legal and regular.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D421A" id="_x0000_s1052" type="#_x0000_t202" style="position:absolute;left:0;text-align:left;margin-left:-10.65pt;margin-top:0;width:457.5pt;height:682.4pt;z-index:-251546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">
                <v:textbox>
                  <w:txbxContent>
                    <w:p w14:paraId="5356B650" w14:textId="77777777" w:rsidR="00A87AB3" w:rsidRDefault="00A87AB3" w:rsidP="00154997">
                      <w:pPr>
                        <w:rPr>
                          <w:b/>
                          <w:sz w:val="18"/>
                          <w:szCs w:val="18"/>
                        </w:rPr>
                      </w:pPr>
                      <w:r w:rsidRPr="00A33631">
                        <w:rPr>
                          <w:b/>
                          <w:sz w:val="18"/>
                          <w:szCs w:val="18"/>
                        </w:rPr>
                        <w:t>Example</w:t>
                      </w:r>
                      <w:r>
                        <w:rPr>
                          <w:b/>
                          <w:sz w:val="18"/>
                          <w:szCs w:val="18"/>
                        </w:rPr>
                        <w:t>s</w:t>
                      </w:r>
                      <w:r w:rsidRPr="00A33631">
                        <w:rPr>
                          <w:b/>
                          <w:sz w:val="18"/>
                          <w:szCs w:val="18"/>
                        </w:rPr>
                        <w:t>:</w:t>
                      </w:r>
                    </w:p>
                    <w:p w14:paraId="409D04C9" w14:textId="77777777" w:rsidR="00A87AB3" w:rsidRPr="001B2932" w:rsidRDefault="00A87AB3" w:rsidP="00154997">
                      <w:pPr>
                        <w:rPr>
                          <w:sz w:val="18"/>
                          <w:szCs w:val="18"/>
                          <w:u w:val="single"/>
                        </w:rPr>
                      </w:pPr>
                      <w:r w:rsidRPr="001B2932">
                        <w:rPr>
                          <w:sz w:val="18"/>
                          <w:szCs w:val="18"/>
                          <w:u w:val="single"/>
                        </w:rPr>
                        <w:t>Unqualified opinion:</w:t>
                      </w:r>
                    </w:p>
                    <w:p w14:paraId="62CD782C" w14:textId="635A6A86" w:rsidR="00A87AB3" w:rsidRPr="000E6EB5" w:rsidRDefault="00A87AB3" w:rsidP="00154997">
                      <w:pPr>
                        <w:autoSpaceDE w:val="0"/>
                        <w:autoSpaceDN w:val="0"/>
                        <w:adjustRightInd w:val="0"/>
                        <w:spacing w:after="100" w:afterAutospacing="1"/>
                        <w:rPr>
                          <w:rFonts w:cs="Times New Roman"/>
                          <w:i/>
                          <w:color w:val="000000"/>
                          <w:sz w:val="18"/>
                          <w:szCs w:val="18"/>
                        </w:rPr>
                      </w:pPr>
                      <w:r w:rsidRPr="001B2932">
                        <w:rPr>
                          <w:rFonts w:cs="Times New Roman"/>
                          <w:i/>
                          <w:color w:val="002060"/>
                          <w:sz w:val="18"/>
                          <w:szCs w:val="18"/>
                        </w:rPr>
                        <w:t xml:space="preserve">In my opinion, and based on the audit work performed the management and control system functions effectively, so as to provide a reasonable assurance that statements of actual expenditure incurred presented to </w:t>
                      </w:r>
                      <w:r w:rsidRPr="000E6EB5">
                        <w:rPr>
                          <w:rFonts w:cs="Times New Roman"/>
                          <w:i/>
                          <w:color w:val="002060"/>
                          <w:sz w:val="18"/>
                          <w:szCs w:val="18"/>
                        </w:rPr>
                        <w:t>the FMC/NMFA are correct and as a consequence reasonable assurance that the underlying transactions are legal and regular.</w:t>
                      </w:r>
                    </w:p>
                    <w:p w14:paraId="7F881210" w14:textId="77777777" w:rsidR="00A87AB3" w:rsidRPr="000E6EB5" w:rsidRDefault="00A87AB3" w:rsidP="00154997">
                      <w:pPr>
                        <w:rPr>
                          <w:sz w:val="18"/>
                          <w:szCs w:val="18"/>
                          <w:u w:val="single"/>
                        </w:rPr>
                      </w:pPr>
                      <w:r w:rsidRPr="000E6EB5">
                        <w:rPr>
                          <w:sz w:val="18"/>
                          <w:szCs w:val="18"/>
                          <w:u w:val="single"/>
                        </w:rPr>
                        <w:t>Qualified opinion:</w:t>
                      </w:r>
                    </w:p>
                    <w:p w14:paraId="2229E71A" w14:textId="0C7A82DE" w:rsidR="00A87AB3" w:rsidRPr="000E6EB5" w:rsidRDefault="00A87AB3" w:rsidP="00154997">
                      <w:pPr>
                        <w:autoSpaceDE w:val="0"/>
                        <w:autoSpaceDN w:val="0"/>
                        <w:adjustRightInd w:val="0"/>
                        <w:rPr>
                          <w:rFonts w:cs="Times New Roman"/>
                          <w:i/>
                          <w:color w:val="002060"/>
                          <w:sz w:val="18"/>
                          <w:szCs w:val="18"/>
                        </w:rPr>
                      </w:pPr>
                      <w:r w:rsidRPr="000E6EB5">
                        <w:rPr>
                          <w:rFonts w:cs="Times New Roman"/>
                          <w:i/>
                          <w:color w:val="002060"/>
                          <w:sz w:val="18"/>
                          <w:szCs w:val="18"/>
                        </w:rPr>
                        <w:t>In my opinion, and based on the audit work performed the management and control system functions effectively, so as to provide a reasonable assurance that statements of actual expenditure incurred presented to the FMC/NMFA are correct and as a consequence reasonable assurance that the underlying transactions are legal and regular except in the following aspects:</w:t>
                      </w:r>
                    </w:p>
                    <w:p w14:paraId="3C938A84" w14:textId="77777777" w:rsidR="00A87AB3" w:rsidRPr="000E6EB5" w:rsidRDefault="00A87AB3" w:rsidP="00154997">
                      <w:pPr>
                        <w:autoSpaceDE w:val="0"/>
                        <w:autoSpaceDN w:val="0"/>
                        <w:adjustRightInd w:val="0"/>
                        <w:rPr>
                          <w:rFonts w:cs="Times New Roman"/>
                          <w:i/>
                          <w:color w:val="002060"/>
                          <w:sz w:val="18"/>
                          <w:szCs w:val="18"/>
                        </w:rPr>
                      </w:pPr>
                      <w:r w:rsidRPr="000E6EB5">
                        <w:rPr>
                          <w:rFonts w:cs="Times New Roman"/>
                          <w:i/>
                          <w:color w:val="002060"/>
                          <w:sz w:val="18"/>
                          <w:szCs w:val="18"/>
                        </w:rPr>
                        <w:t>In relation to material matters related to the legality and regularity of the expenditure: …</w:t>
                      </w:r>
                    </w:p>
                    <w:p w14:paraId="0335BB08" w14:textId="77777777" w:rsidR="00A87AB3" w:rsidRPr="000E6EB5" w:rsidRDefault="00A87AB3" w:rsidP="00154997">
                      <w:pPr>
                        <w:autoSpaceDE w:val="0"/>
                        <w:autoSpaceDN w:val="0"/>
                        <w:adjustRightInd w:val="0"/>
                        <w:rPr>
                          <w:rFonts w:cs="Times New Roman"/>
                          <w:i/>
                          <w:color w:val="002060"/>
                          <w:sz w:val="18"/>
                          <w:szCs w:val="18"/>
                        </w:rPr>
                      </w:pPr>
                      <w:r w:rsidRPr="000E6EB5">
                        <w:rPr>
                          <w:rFonts w:cs="Times New Roman"/>
                          <w:i/>
                          <w:color w:val="002060"/>
                          <w:sz w:val="18"/>
                          <w:szCs w:val="18"/>
                        </w:rPr>
                        <w:t>and/or [delete as appropriate] in relation to material matters related to the functioning of the management and control system: …</w:t>
                      </w:r>
                    </w:p>
                    <w:p w14:paraId="3F54C38D" w14:textId="77777777" w:rsidR="00A87AB3" w:rsidRPr="000E6EB5" w:rsidRDefault="00A87AB3" w:rsidP="00154997">
                      <w:pPr>
                        <w:autoSpaceDE w:val="0"/>
                        <w:autoSpaceDN w:val="0"/>
                        <w:adjustRightInd w:val="0"/>
                        <w:rPr>
                          <w:rFonts w:cs="Times New Roman"/>
                          <w:i/>
                          <w:color w:val="002060"/>
                          <w:sz w:val="18"/>
                          <w:szCs w:val="18"/>
                        </w:rPr>
                      </w:pPr>
                      <w:r w:rsidRPr="000E6EB5">
                        <w:rPr>
                          <w:rFonts w:cs="Times New Roman"/>
                          <w:i/>
                          <w:color w:val="002060"/>
                          <w:sz w:val="18"/>
                          <w:szCs w:val="18"/>
                        </w:rPr>
                        <w:t>Therefore, I estimate that the impact of the qualification(s) is [limited] / [significant]. [Delete as appropriate]</w:t>
                      </w:r>
                    </w:p>
                    <w:p w14:paraId="31DEC10E" w14:textId="77777777" w:rsidR="00A87AB3" w:rsidRPr="000E6EB5" w:rsidRDefault="00A87AB3" w:rsidP="00154997">
                      <w:pPr>
                        <w:autoSpaceDE w:val="0"/>
                        <w:autoSpaceDN w:val="0"/>
                        <w:adjustRightInd w:val="0"/>
                        <w:rPr>
                          <w:rFonts w:cs="Times New Roman"/>
                          <w:i/>
                          <w:color w:val="002060"/>
                          <w:sz w:val="18"/>
                          <w:szCs w:val="18"/>
                        </w:rPr>
                      </w:pPr>
                      <w:r w:rsidRPr="000E6EB5">
                        <w:rPr>
                          <w:rFonts w:cs="Times New Roman"/>
                          <w:i/>
                          <w:color w:val="002060"/>
                          <w:sz w:val="18"/>
                          <w:szCs w:val="18"/>
                        </w:rPr>
                        <w:t>This impact corresponds to …… [Amount in € and %] of the total expenditure declared. The Donor States contribution affected is thus … [amount in €].</w:t>
                      </w:r>
                    </w:p>
                    <w:p w14:paraId="49A115D8" w14:textId="77777777" w:rsidR="00A87AB3" w:rsidRPr="000E6EB5" w:rsidRDefault="00A87AB3" w:rsidP="00154997">
                      <w:pPr>
                        <w:autoSpaceDE w:val="0"/>
                        <w:autoSpaceDN w:val="0"/>
                        <w:adjustRightInd w:val="0"/>
                        <w:rPr>
                          <w:rFonts w:cs="Times New Roman"/>
                          <w:color w:val="000000"/>
                          <w:sz w:val="18"/>
                          <w:szCs w:val="18"/>
                        </w:rPr>
                      </w:pPr>
                      <w:r w:rsidRPr="000E6EB5">
                        <w:rPr>
                          <w:rFonts w:cs="Times New Roman"/>
                          <w:color w:val="000000"/>
                          <w:sz w:val="18"/>
                          <w:szCs w:val="18"/>
                        </w:rPr>
                        <w:t>The AA should:</w:t>
                      </w:r>
                    </w:p>
                    <w:p w14:paraId="43CFDE8E" w14:textId="29BBAF84" w:rsidR="00A87AB3" w:rsidRPr="000E6EB5" w:rsidRDefault="00A87AB3" w:rsidP="009F01EE">
                      <w:pPr>
                        <w:pStyle w:val="ListParagraph"/>
                        <w:numPr>
                          <w:ilvl w:val="0"/>
                          <w:numId w:val="25"/>
                        </w:numPr>
                        <w:autoSpaceDE w:val="0"/>
                        <w:autoSpaceDN w:val="0"/>
                        <w:adjustRightInd w:val="0"/>
                        <w:spacing w:after="0"/>
                        <w:ind w:left="360" w:hanging="360"/>
                        <w:rPr>
                          <w:rFonts w:cs="Times New Roman"/>
                          <w:color w:val="000000"/>
                          <w:sz w:val="18"/>
                          <w:szCs w:val="18"/>
                        </w:rPr>
                      </w:pPr>
                      <w:r w:rsidRPr="000E6EB5">
                        <w:rPr>
                          <w:rFonts w:cs="Times New Roman"/>
                          <w:color w:val="000000"/>
                          <w:sz w:val="18"/>
                          <w:szCs w:val="18"/>
                        </w:rPr>
                        <w:t>Detail and explain the qualifications</w:t>
                      </w:r>
                    </w:p>
                    <w:p w14:paraId="1899B452" w14:textId="3047E647" w:rsidR="00A87AB3" w:rsidRPr="000E6EB5" w:rsidRDefault="00A87AB3" w:rsidP="009F01EE">
                      <w:pPr>
                        <w:pStyle w:val="ListParagraph"/>
                        <w:numPr>
                          <w:ilvl w:val="0"/>
                          <w:numId w:val="25"/>
                        </w:numPr>
                        <w:autoSpaceDE w:val="0"/>
                        <w:autoSpaceDN w:val="0"/>
                        <w:adjustRightInd w:val="0"/>
                        <w:spacing w:after="0"/>
                        <w:ind w:left="360" w:hanging="360"/>
                        <w:rPr>
                          <w:rFonts w:cs="Times New Roman"/>
                          <w:color w:val="000000"/>
                          <w:sz w:val="18"/>
                          <w:szCs w:val="18"/>
                        </w:rPr>
                      </w:pPr>
                      <w:r w:rsidRPr="000E6EB5">
                        <w:rPr>
                          <w:rFonts w:cs="Times New Roman"/>
                          <w:color w:val="000000"/>
                          <w:sz w:val="18"/>
                          <w:szCs w:val="18"/>
                        </w:rPr>
                        <w:t>Estimate their impact: limited or significant</w:t>
                      </w:r>
                    </w:p>
                    <w:p w14:paraId="5BA7733F" w14:textId="043591C8" w:rsidR="00A87AB3" w:rsidRPr="000E6EB5" w:rsidRDefault="00A87AB3" w:rsidP="009F01EE">
                      <w:pPr>
                        <w:pStyle w:val="ListParagraph"/>
                        <w:numPr>
                          <w:ilvl w:val="0"/>
                          <w:numId w:val="25"/>
                        </w:numPr>
                        <w:autoSpaceDE w:val="0"/>
                        <w:autoSpaceDN w:val="0"/>
                        <w:adjustRightInd w:val="0"/>
                        <w:spacing w:after="0"/>
                        <w:ind w:left="360" w:hanging="360"/>
                        <w:rPr>
                          <w:rFonts w:cs="Times New Roman"/>
                          <w:color w:val="000000"/>
                          <w:sz w:val="18"/>
                          <w:szCs w:val="18"/>
                        </w:rPr>
                      </w:pPr>
                      <w:r w:rsidRPr="000E6EB5">
                        <w:rPr>
                          <w:rFonts w:cs="Times New Roman"/>
                          <w:color w:val="000000"/>
                          <w:sz w:val="18"/>
                          <w:szCs w:val="18"/>
                        </w:rPr>
                        <w:t>Quantify the impact</w:t>
                      </w:r>
                    </w:p>
                    <w:p w14:paraId="41FD2056" w14:textId="77777777" w:rsidR="00A87AB3" w:rsidRPr="000E6EB5" w:rsidRDefault="00A87AB3" w:rsidP="00154997">
                      <w:pPr>
                        <w:autoSpaceDE w:val="0"/>
                        <w:autoSpaceDN w:val="0"/>
                        <w:adjustRightInd w:val="0"/>
                        <w:spacing w:after="0"/>
                        <w:rPr>
                          <w:rFonts w:cs="Times New Roman"/>
                          <w:color w:val="000000"/>
                          <w:sz w:val="18"/>
                          <w:szCs w:val="18"/>
                        </w:rPr>
                      </w:pPr>
                      <w:r w:rsidRPr="000E6EB5">
                        <w:rPr>
                          <w:rFonts w:cs="Times New Roman"/>
                          <w:color w:val="000000"/>
                          <w:sz w:val="18"/>
                          <w:szCs w:val="18"/>
                        </w:rPr>
                        <w:t xml:space="preserve">The estimation of the impact of a qualification as "limited" is deemed appropriate when it relates to irregularities (not yet corrected) corresponding to expenditure above 2% but below or equal to 5% of the total </w:t>
                      </w:r>
                      <w:r w:rsidRPr="000E6EB5">
                        <w:rPr>
                          <w:rFonts w:cs="Times New Roman"/>
                          <w:sz w:val="18"/>
                          <w:szCs w:val="18"/>
                        </w:rPr>
                        <w:t xml:space="preserve">expenditure certified in these accounts. If those irregularities exceed 5% of the total expenditure certified in these accounts, the corresponding qualification should be estimated as "significant". The same reasoning applies when </w:t>
                      </w:r>
                      <w:r w:rsidRPr="000E6EB5">
                        <w:rPr>
                          <w:rFonts w:cs="Times New Roman"/>
                          <w:color w:val="000000"/>
                          <w:sz w:val="18"/>
                          <w:szCs w:val="18"/>
                        </w:rPr>
                        <w:t>the exact amount of the irregularities cannot be quantified precisely by the AA and a flat rate is used; this may be the case of system deficiencies.</w:t>
                      </w:r>
                    </w:p>
                    <w:p w14:paraId="26CE6507" w14:textId="77777777" w:rsidR="00A87AB3" w:rsidRPr="000E6EB5" w:rsidRDefault="00A87AB3" w:rsidP="00154997">
                      <w:pPr>
                        <w:autoSpaceDE w:val="0"/>
                        <w:autoSpaceDN w:val="0"/>
                        <w:adjustRightInd w:val="0"/>
                        <w:spacing w:before="0"/>
                        <w:rPr>
                          <w:rFonts w:cs="Times New Roman"/>
                          <w:color w:val="000000"/>
                          <w:sz w:val="18"/>
                          <w:szCs w:val="18"/>
                        </w:rPr>
                      </w:pPr>
                      <w:r w:rsidRPr="000E6EB5">
                        <w:rPr>
                          <w:rFonts w:cs="Times New Roman"/>
                          <w:color w:val="000000"/>
                          <w:sz w:val="18"/>
                          <w:szCs w:val="18"/>
                        </w:rPr>
                        <w:t>The AA should make very clear whether the qualifications relate to the legality and regularity of expenditure or the management and control systems.</w:t>
                      </w:r>
                    </w:p>
                    <w:p w14:paraId="57067297" w14:textId="77777777" w:rsidR="00A87AB3" w:rsidRPr="000E6EB5" w:rsidRDefault="00A87AB3" w:rsidP="00154997">
                      <w:pPr>
                        <w:rPr>
                          <w:sz w:val="18"/>
                          <w:szCs w:val="18"/>
                          <w:u w:val="single"/>
                        </w:rPr>
                      </w:pPr>
                      <w:r w:rsidRPr="000E6EB5">
                        <w:rPr>
                          <w:sz w:val="18"/>
                          <w:szCs w:val="18"/>
                          <w:u w:val="single"/>
                        </w:rPr>
                        <w:t>Adverse opinion:</w:t>
                      </w:r>
                    </w:p>
                    <w:p w14:paraId="2D66FBC6" w14:textId="07EA3C61" w:rsidR="00A87AB3" w:rsidRPr="000E6EB5" w:rsidRDefault="00A87AB3" w:rsidP="00154997">
                      <w:pPr>
                        <w:autoSpaceDE w:val="0"/>
                        <w:autoSpaceDN w:val="0"/>
                        <w:adjustRightInd w:val="0"/>
                        <w:rPr>
                          <w:rFonts w:cs="Times New Roman"/>
                          <w:i/>
                          <w:color w:val="002060"/>
                          <w:sz w:val="18"/>
                          <w:szCs w:val="18"/>
                        </w:rPr>
                      </w:pPr>
                      <w:r w:rsidRPr="000E6EB5">
                        <w:rPr>
                          <w:rFonts w:cs="Times New Roman"/>
                          <w:i/>
                          <w:color w:val="002060"/>
                          <w:sz w:val="18"/>
                          <w:szCs w:val="18"/>
                        </w:rPr>
                        <w:t>In my opinion, and based on the audit work performed the management and control system does not function effectively, so as to provide a reasonable assurance that statements of actual expenditure incurred presented to the FMC/NMFA are correct and as a consequence reasonable assurance that the underlying transactions are legal and regular.</w:t>
                      </w:r>
                    </w:p>
                    <w:p w14:paraId="62D5AA80" w14:textId="77777777" w:rsidR="00A87AB3" w:rsidRPr="000E6EB5" w:rsidRDefault="00A87AB3" w:rsidP="00154997">
                      <w:pPr>
                        <w:autoSpaceDE w:val="0"/>
                        <w:autoSpaceDN w:val="0"/>
                        <w:adjustRightInd w:val="0"/>
                        <w:rPr>
                          <w:rFonts w:cs="Times New Roman"/>
                          <w:i/>
                          <w:color w:val="002060"/>
                          <w:sz w:val="18"/>
                          <w:szCs w:val="18"/>
                        </w:rPr>
                      </w:pPr>
                      <w:r w:rsidRPr="000E6EB5">
                        <w:rPr>
                          <w:rFonts w:cs="Times New Roman"/>
                          <w:i/>
                          <w:color w:val="002060"/>
                          <w:sz w:val="18"/>
                          <w:szCs w:val="18"/>
                        </w:rPr>
                        <w:t>This adverse opinion is based on the following aspects:</w:t>
                      </w:r>
                    </w:p>
                    <w:p w14:paraId="39FAECF5" w14:textId="77777777" w:rsidR="00A87AB3" w:rsidRPr="001B2932" w:rsidRDefault="00A87AB3" w:rsidP="00154997">
                      <w:pPr>
                        <w:autoSpaceDE w:val="0"/>
                        <w:autoSpaceDN w:val="0"/>
                        <w:adjustRightInd w:val="0"/>
                        <w:rPr>
                          <w:rFonts w:cs="Times New Roman"/>
                          <w:i/>
                          <w:color w:val="002060"/>
                          <w:sz w:val="18"/>
                          <w:szCs w:val="18"/>
                        </w:rPr>
                      </w:pPr>
                      <w:r w:rsidRPr="000E6EB5">
                        <w:rPr>
                          <w:rFonts w:cs="Times New Roman"/>
                          <w:i/>
                          <w:color w:val="002060"/>
                          <w:sz w:val="18"/>
                          <w:szCs w:val="18"/>
                        </w:rPr>
                        <w:t>In relation to material matters related to the legality and</w:t>
                      </w:r>
                      <w:r w:rsidRPr="001B2932">
                        <w:rPr>
                          <w:rFonts w:cs="Times New Roman"/>
                          <w:i/>
                          <w:color w:val="002060"/>
                          <w:sz w:val="18"/>
                          <w:szCs w:val="18"/>
                        </w:rPr>
                        <w:t xml:space="preserve"> regularity of the expenditure: …</w:t>
                      </w:r>
                    </w:p>
                    <w:p w14:paraId="6A614187" w14:textId="77777777" w:rsidR="00A87AB3" w:rsidRPr="001B2932" w:rsidRDefault="00A87AB3" w:rsidP="00154997">
                      <w:pPr>
                        <w:autoSpaceDE w:val="0"/>
                        <w:autoSpaceDN w:val="0"/>
                        <w:adjustRightInd w:val="0"/>
                        <w:rPr>
                          <w:rFonts w:cs="Times New Roman"/>
                          <w:i/>
                          <w:color w:val="002060"/>
                          <w:sz w:val="18"/>
                          <w:szCs w:val="18"/>
                        </w:rPr>
                      </w:pPr>
                      <w:r w:rsidRPr="001B2932">
                        <w:rPr>
                          <w:rFonts w:cs="Times New Roman"/>
                          <w:i/>
                          <w:color w:val="002060"/>
                          <w:sz w:val="18"/>
                          <w:szCs w:val="18"/>
                        </w:rPr>
                        <w:t>and/or [delete as appropriate] in relation to material matters related to the functioning of the management and control system: …</w:t>
                      </w:r>
                    </w:p>
                    <w:p w14:paraId="301BBFAC" w14:textId="77777777" w:rsidR="00A87AB3" w:rsidRPr="001B2932" w:rsidRDefault="00A87AB3" w:rsidP="00154997">
                      <w:pPr>
                        <w:rPr>
                          <w:sz w:val="18"/>
                          <w:szCs w:val="18"/>
                          <w:u w:val="single"/>
                        </w:rPr>
                      </w:pPr>
                      <w:r w:rsidRPr="001B2932">
                        <w:rPr>
                          <w:sz w:val="18"/>
                          <w:szCs w:val="18"/>
                          <w:u w:val="single"/>
                        </w:rPr>
                        <w:t>Disclaimer of opinion:</w:t>
                      </w:r>
                    </w:p>
                    <w:p w14:paraId="3394E4FB" w14:textId="77777777" w:rsidR="00A87AB3" w:rsidRPr="001B2932" w:rsidRDefault="00A87AB3" w:rsidP="00154997">
                      <w:pPr>
                        <w:autoSpaceDE w:val="0"/>
                        <w:autoSpaceDN w:val="0"/>
                        <w:adjustRightInd w:val="0"/>
                        <w:rPr>
                          <w:rFonts w:cs="Times New Roman"/>
                          <w:i/>
                          <w:color w:val="002060"/>
                          <w:sz w:val="18"/>
                          <w:szCs w:val="18"/>
                        </w:rPr>
                      </w:pPr>
                      <w:r w:rsidRPr="001B2932">
                        <w:rPr>
                          <w:rFonts w:cs="Times New Roman"/>
                          <w:i/>
                          <w:color w:val="002060"/>
                          <w:sz w:val="18"/>
                          <w:szCs w:val="18"/>
                        </w:rPr>
                        <w:t>Because of the significance of the matter described in the scope limitation paragraph above, I have not been able to obtain sufficient appropriate audit evidence to provide a basis for an audit opinion. Accordingly, I do not express an opinion whether the management and control system functions effectively, so as to provide a reasonable assurance that statements of actual expenditure incurred presented to the FMO are correct and as a consequence reasonable assurance that the underlying transactions are legal and regular.</w:t>
                      </w:r>
                    </w:p>
                  </w:txbxContent>
                </v:textbox>
                <w10:wrap type="topAndBottom" anchorx="margin"/>
              </v:shape>
            </w:pict>
          </mc:Fallback>
        </mc:AlternateContent>
      </w:r>
    </w:p>
    <w:p w14:paraId="0779F89F" w14:textId="77777777" w:rsidR="00F3740C" w:rsidRPr="009B7F14" w:rsidRDefault="00D9579D" w:rsidP="00920571">
      <w:pPr>
        <w:pStyle w:val="Heading2"/>
      </w:pPr>
      <w:bookmarkStart w:id="73" w:name="_Toc484174852"/>
      <w:r w:rsidRPr="009B7F14">
        <w:t>Auditors' certificates (</w:t>
      </w:r>
      <w:r w:rsidR="00ED7943" w:rsidRPr="009B7F14">
        <w:t xml:space="preserve">Reg. </w:t>
      </w:r>
      <w:r w:rsidRPr="009B7F14">
        <w:t>art. 8</w:t>
      </w:r>
      <w:r w:rsidR="0058625F" w:rsidRPr="009B7F14">
        <w:t>.12</w:t>
      </w:r>
      <w:r w:rsidR="00F3740C" w:rsidRPr="009B7F14">
        <w:t>.</w:t>
      </w:r>
      <w:r w:rsidR="0058625F" w:rsidRPr="009B7F14">
        <w:t>4</w:t>
      </w:r>
      <w:r w:rsidR="00F3740C" w:rsidRPr="009B7F14">
        <w:t>)</w:t>
      </w:r>
      <w:bookmarkEnd w:id="73"/>
    </w:p>
    <w:p w14:paraId="4347F356" w14:textId="2799556C" w:rsidR="00EE7C4C" w:rsidRDefault="00EE7C4C" w:rsidP="00376576">
      <w:pPr>
        <w:autoSpaceDE w:val="0"/>
        <w:autoSpaceDN w:val="0"/>
        <w:adjustRightInd w:val="0"/>
        <w:rPr>
          <w:rFonts w:cs="Times New Roman"/>
          <w:color w:val="000000"/>
        </w:rPr>
      </w:pPr>
      <w:r w:rsidRPr="009B7F14">
        <w:rPr>
          <w:noProof/>
          <w:lang w:eastAsia="en-GB"/>
        </w:rPr>
        <mc:AlternateContent>
          <mc:Choice Requires="wps">
            <w:drawing>
              <wp:anchor distT="0" distB="0" distL="114300" distR="114300" simplePos="0" relativeHeight="251771904" behindDoc="1" locked="0" layoutInCell="1" allowOverlap="1" wp14:anchorId="318E1A9F" wp14:editId="3D8AC903">
                <wp:simplePos x="0" y="0"/>
                <wp:positionH relativeFrom="margin">
                  <wp:posOffset>2295525</wp:posOffset>
                </wp:positionH>
                <wp:positionV relativeFrom="paragraph">
                  <wp:posOffset>78105</wp:posOffset>
                </wp:positionV>
                <wp:extent cx="3430800" cy="3229200"/>
                <wp:effectExtent l="457200" t="0" r="17780" b="28575"/>
                <wp:wrapTight wrapText="left">
                  <wp:wrapPolygon edited="0">
                    <wp:start x="2399" y="0"/>
                    <wp:lineTo x="0" y="0"/>
                    <wp:lineTo x="0" y="2039"/>
                    <wp:lineTo x="-1080" y="2039"/>
                    <wp:lineTo x="-1080" y="4078"/>
                    <wp:lineTo x="-2879" y="4078"/>
                    <wp:lineTo x="-2879" y="6117"/>
                    <wp:lineTo x="-2639" y="8156"/>
                    <wp:lineTo x="-960" y="8156"/>
                    <wp:lineTo x="-960" y="10195"/>
                    <wp:lineTo x="-240" y="10195"/>
                    <wp:lineTo x="-240" y="20389"/>
                    <wp:lineTo x="480" y="20389"/>
                    <wp:lineTo x="480" y="21664"/>
                    <wp:lineTo x="2279" y="21664"/>
                    <wp:lineTo x="19313" y="21664"/>
                    <wp:lineTo x="19433" y="21664"/>
                    <wp:lineTo x="21112" y="20517"/>
                    <wp:lineTo x="21112" y="20389"/>
                    <wp:lineTo x="21592" y="18478"/>
                    <wp:lineTo x="21592" y="2039"/>
                    <wp:lineTo x="19313" y="127"/>
                    <wp:lineTo x="19193" y="0"/>
                    <wp:lineTo x="2399" y="0"/>
                  </wp:wrapPolygon>
                </wp:wrapTight>
                <wp:docPr id="228" name="Rounded Rectangular Callout 228"/>
                <wp:cNvGraphicFramePr/>
                <a:graphic xmlns:a="http://schemas.openxmlformats.org/drawingml/2006/main">
                  <a:graphicData uri="http://schemas.microsoft.com/office/word/2010/wordprocessingShape">
                    <wps:wsp>
                      <wps:cNvSpPr/>
                      <wps:spPr>
                        <a:xfrm>
                          <a:off x="0" y="0"/>
                          <a:ext cx="3430800" cy="3229200"/>
                        </a:xfrm>
                        <a:prstGeom prst="wedgeRoundRectCallout">
                          <a:avLst>
                            <a:gd name="adj1" fmla="val -63055"/>
                            <a:gd name="adj2" fmla="val -25138"/>
                            <a:gd name="adj3" fmla="val 16667"/>
                          </a:avLst>
                        </a:prstGeom>
                      </wps:spPr>
                      <wps:style>
                        <a:lnRef idx="2">
                          <a:schemeClr val="dk1"/>
                        </a:lnRef>
                        <a:fillRef idx="1">
                          <a:schemeClr val="lt1"/>
                        </a:fillRef>
                        <a:effectRef idx="0">
                          <a:schemeClr val="dk1"/>
                        </a:effectRef>
                        <a:fontRef idx="minor">
                          <a:schemeClr val="dk1"/>
                        </a:fontRef>
                      </wps:style>
                      <wps:txbx>
                        <w:txbxContent>
                          <w:p w14:paraId="5056AEDD" w14:textId="563B05DC" w:rsidR="00A87AB3" w:rsidRPr="00ED13FE" w:rsidRDefault="00A87AB3" w:rsidP="000428F5">
                            <w:pPr>
                              <w:rPr>
                                <w:color w:val="4472C4" w:themeColor="accent5"/>
                                <w:sz w:val="18"/>
                              </w:rPr>
                            </w:pPr>
                            <w:r w:rsidRPr="00EE7C4C">
                              <w:rPr>
                                <w:color w:val="4472C4" w:themeColor="accent5"/>
                                <w:sz w:val="18"/>
                              </w:rPr>
                              <w:t>A report by an independent auditor qualified to carry out statutory audits of accounting documents, certifying that the claimed costs are incurred in accordance with this Regulation, the national law and relevant national accounting practices, shall, subject to paragraph 3, be accepted as sufficient proof of expenditure incurred. A report issued by a competent and independent public officer recognised by the relevant national authorities as having a budget and financial control capacity over the entity incurring the costs and who has not been involved in the preparation of the financial statements, certifying that the claimed costs are incurred in accordance with this Regulation, the relevant law and national accounting practices, shall, subject to paragraph 3, also be accepted as sufficient proof of expenditure incurred.</w:t>
                            </w:r>
                            <w:r w:rsidRPr="00FC1E71">
                              <w:rPr>
                                <w:color w:val="4472C4" w:themeColor="accent5"/>
                                <w:sz w:val="18"/>
                              </w:rPr>
                              <w:t xml:space="preserve"> </w:t>
                            </w:r>
                            <w:r>
                              <w:rPr>
                                <w:color w:val="4472C4" w:themeColor="accent5"/>
                                <w:sz w:val="18"/>
                              </w:rPr>
                              <w:t>(Reg. Art. 8.12.4</w:t>
                            </w:r>
                            <w:r w:rsidRPr="00ED13FE">
                              <w:rPr>
                                <w:color w:val="4472C4" w:themeColor="accent5"/>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E1A9F" id="Rounded Rectangular Callout 228" o:spid="_x0000_s1053" type="#_x0000_t62" style="position:absolute;left:0;text-align:left;margin-left:180.75pt;margin-top:6.15pt;width:270.15pt;height:254.25pt;z-index:-251544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" adj="-2820,5370" fillcolor="white [3201]" strokecolor="black [3200]" strokeweight="1pt">
                <v:textbox>
                  <w:txbxContent>
                    <w:p w14:paraId="5056AEDD" w14:textId="563B05DC" w:rsidR="00A87AB3" w:rsidRPr="00ED13FE" w:rsidRDefault="00A87AB3" w:rsidP="000428F5">
                      <w:pPr>
                        <w:rPr>
                          <w:color w:val="4472C4" w:themeColor="accent5"/>
                          <w:sz w:val="18"/>
                        </w:rPr>
                      </w:pPr>
                      <w:r w:rsidRPr="00EE7C4C">
                        <w:rPr>
                          <w:color w:val="4472C4" w:themeColor="accent5"/>
                          <w:sz w:val="18"/>
                        </w:rPr>
                        <w:t>A report by an independent auditor qualified to carry out statutory audits of accounting documents, certifying that the claimed costs are incurred in accordance with this Regulation, the national law and relevant national accounting practices, shall, subject to paragraph 3, be accepted as sufficient proof of expenditure incurred. A report issued by a competent and independent public officer recognised by the relevant national authorities as having a budget and financial control capacity over the entity incurring the costs and who has not been involved in the preparation of the financial statements, certifying that the claimed costs are incurred in accordance with this Regulation, the relevant law and national accounting practices, shall, subject to paragraph 3, also be accepted as sufficient proof of expenditure incurred.</w:t>
                      </w:r>
                      <w:r w:rsidRPr="00FC1E71">
                        <w:rPr>
                          <w:color w:val="4472C4" w:themeColor="accent5"/>
                          <w:sz w:val="18"/>
                        </w:rPr>
                        <w:t xml:space="preserve"> </w:t>
                      </w:r>
                      <w:r>
                        <w:rPr>
                          <w:color w:val="4472C4" w:themeColor="accent5"/>
                          <w:sz w:val="18"/>
                        </w:rPr>
                        <w:t>(Reg. Art. 8.12.4</w:t>
                      </w:r>
                      <w:r w:rsidRPr="00ED13FE">
                        <w:rPr>
                          <w:color w:val="4472C4" w:themeColor="accent5"/>
                          <w:sz w:val="18"/>
                        </w:rPr>
                        <w:t>)</w:t>
                      </w:r>
                    </w:p>
                  </w:txbxContent>
                </v:textbox>
                <w10:wrap type="tight" side="left" anchorx="margin"/>
              </v:shape>
            </w:pict>
          </mc:Fallback>
        </mc:AlternateContent>
      </w:r>
      <w:r w:rsidR="00154997">
        <w:rPr>
          <w:rFonts w:cs="Times New Roman"/>
          <w:color w:val="000000"/>
        </w:rPr>
        <w:t>P</w:t>
      </w:r>
      <w:r w:rsidR="00A25991">
        <w:rPr>
          <w:rFonts w:cs="Times New Roman"/>
          <w:color w:val="000000"/>
        </w:rPr>
        <w:t>roject contracts and/or partner</w:t>
      </w:r>
      <w:r w:rsidR="00154997">
        <w:rPr>
          <w:rFonts w:cs="Times New Roman"/>
          <w:color w:val="000000"/>
        </w:rPr>
        <w:t>ship</w:t>
      </w:r>
      <w:r w:rsidR="00A25991">
        <w:rPr>
          <w:rFonts w:cs="Times New Roman"/>
          <w:color w:val="000000"/>
        </w:rPr>
        <w:t xml:space="preserve"> </w:t>
      </w:r>
      <w:r w:rsidR="00F3740C" w:rsidRPr="009B7F14">
        <w:rPr>
          <w:rFonts w:cs="Times New Roman"/>
          <w:color w:val="000000"/>
        </w:rPr>
        <w:t xml:space="preserve">agreements may include a requirement for </w:t>
      </w:r>
      <w:r w:rsidR="00154997">
        <w:rPr>
          <w:rFonts w:cs="Times New Roman"/>
          <w:color w:val="000000"/>
        </w:rPr>
        <w:t xml:space="preserve">the </w:t>
      </w:r>
      <w:r w:rsidR="003134A1" w:rsidRPr="009B7F14">
        <w:rPr>
          <w:rFonts w:cs="Times New Roman"/>
          <w:color w:val="000000"/>
        </w:rPr>
        <w:t>PP</w:t>
      </w:r>
      <w:r w:rsidR="00F3740C" w:rsidRPr="009B7F14">
        <w:rPr>
          <w:rFonts w:cs="Times New Roman"/>
          <w:color w:val="000000"/>
        </w:rPr>
        <w:t xml:space="preserve"> or </w:t>
      </w:r>
      <w:r w:rsidR="00154997">
        <w:rPr>
          <w:rFonts w:cs="Times New Roman"/>
          <w:color w:val="000000"/>
        </w:rPr>
        <w:t xml:space="preserve">projects </w:t>
      </w:r>
      <w:r w:rsidR="00F3740C" w:rsidRPr="009B7F14">
        <w:rPr>
          <w:rFonts w:cs="Times New Roman"/>
          <w:color w:val="000000"/>
        </w:rPr>
        <w:t xml:space="preserve">partner to provide </w:t>
      </w:r>
      <w:r w:rsidR="00154997">
        <w:rPr>
          <w:rFonts w:cs="Times New Roman"/>
          <w:color w:val="000000"/>
        </w:rPr>
        <w:t xml:space="preserve">a </w:t>
      </w:r>
      <w:r w:rsidR="005F4062" w:rsidRPr="009B7F14">
        <w:rPr>
          <w:rFonts w:cs="Times New Roman"/>
          <w:color w:val="000000"/>
        </w:rPr>
        <w:t xml:space="preserve">proof of expenditure by way </w:t>
      </w:r>
      <w:r w:rsidR="00C234F7">
        <w:rPr>
          <w:rFonts w:cs="Times New Roman"/>
          <w:color w:val="000000"/>
        </w:rPr>
        <w:t xml:space="preserve">a </w:t>
      </w:r>
      <w:r w:rsidR="005F4062" w:rsidRPr="009B7F14">
        <w:rPr>
          <w:rFonts w:cs="Times New Roman"/>
          <w:color w:val="000000"/>
        </w:rPr>
        <w:t xml:space="preserve">report </w:t>
      </w:r>
      <w:r w:rsidR="00C234F7">
        <w:rPr>
          <w:szCs w:val="20"/>
        </w:rPr>
        <w:t>by an independent auditor or a competent and independent public officer</w:t>
      </w:r>
      <w:r w:rsidR="00F3740C" w:rsidRPr="009B7F14">
        <w:rPr>
          <w:rFonts w:cs="Times New Roman"/>
          <w:color w:val="000000"/>
        </w:rPr>
        <w:t xml:space="preserve"> </w:t>
      </w:r>
      <w:r w:rsidR="00C234F7">
        <w:rPr>
          <w:szCs w:val="20"/>
        </w:rPr>
        <w:t>certifying that the reported costs are incurred in accordance with this Regulation</w:t>
      </w:r>
      <w:r>
        <w:rPr>
          <w:szCs w:val="20"/>
        </w:rPr>
        <w:t>(s)</w:t>
      </w:r>
      <w:r w:rsidR="00C234F7">
        <w:rPr>
          <w:szCs w:val="20"/>
        </w:rPr>
        <w:t>, the national law and relevant national accounting practices.</w:t>
      </w:r>
      <w:r w:rsidR="00C234F7" w:rsidRPr="009B7F14">
        <w:rPr>
          <w:rFonts w:cs="Times New Roman"/>
          <w:color w:val="000000"/>
        </w:rPr>
        <w:t xml:space="preserve"> </w:t>
      </w:r>
      <w:r w:rsidR="00F3740C" w:rsidRPr="009B7F14">
        <w:rPr>
          <w:rFonts w:cs="Times New Roman"/>
          <w:color w:val="000000"/>
        </w:rPr>
        <w:t xml:space="preserve">These </w:t>
      </w:r>
      <w:r w:rsidR="00C234F7">
        <w:rPr>
          <w:rFonts w:cs="Times New Roman"/>
          <w:color w:val="000000"/>
        </w:rPr>
        <w:t xml:space="preserve">reports </w:t>
      </w:r>
      <w:r w:rsidR="00F3740C" w:rsidRPr="009B7F14">
        <w:rPr>
          <w:rFonts w:cs="Times New Roman"/>
          <w:color w:val="000000"/>
        </w:rPr>
        <w:t>vary upon the scope of the work carried out by the auditor but generally cover basic requirements such as</w:t>
      </w:r>
      <w:r>
        <w:rPr>
          <w:rFonts w:cs="Times New Roman"/>
          <w:color w:val="000000"/>
        </w:rPr>
        <w:t xml:space="preserve"> a confirmation that:</w:t>
      </w:r>
    </w:p>
    <w:p w14:paraId="6629E9DE" w14:textId="7EB36A28" w:rsidR="00EE7C4C" w:rsidRDefault="00EE7C4C" w:rsidP="00EE7C4C">
      <w:pPr>
        <w:pStyle w:val="ListParagraph"/>
        <w:numPr>
          <w:ilvl w:val="0"/>
          <w:numId w:val="1"/>
        </w:numPr>
        <w:autoSpaceDE w:val="0"/>
        <w:autoSpaceDN w:val="0"/>
        <w:adjustRightInd w:val="0"/>
        <w:spacing w:after="0"/>
        <w:contextualSpacing w:val="0"/>
        <w:rPr>
          <w:rFonts w:cs="Times New Roman"/>
          <w:color w:val="000000"/>
        </w:rPr>
      </w:pPr>
      <w:r>
        <w:rPr>
          <w:rFonts w:cs="Times New Roman"/>
          <w:color w:val="000000"/>
        </w:rPr>
        <w:t>T</w:t>
      </w:r>
      <w:r w:rsidR="00F3740C" w:rsidRPr="009B7F14">
        <w:rPr>
          <w:rFonts w:cs="Times New Roman"/>
          <w:color w:val="000000"/>
        </w:rPr>
        <w:t xml:space="preserve">he expenditure has been </w:t>
      </w:r>
      <w:r>
        <w:rPr>
          <w:rFonts w:cs="Times New Roman"/>
          <w:color w:val="000000"/>
        </w:rPr>
        <w:t>incurred</w:t>
      </w:r>
      <w:r w:rsidR="00F3740C" w:rsidRPr="009B7F14">
        <w:rPr>
          <w:rFonts w:cs="Times New Roman"/>
          <w:color w:val="000000"/>
        </w:rPr>
        <w:t xml:space="preserve"> within the eligible </w:t>
      </w:r>
      <w:r w:rsidR="001B796A" w:rsidRPr="009B7F14">
        <w:rPr>
          <w:rFonts w:cs="Times New Roman"/>
          <w:color w:val="000000"/>
        </w:rPr>
        <w:t>period</w:t>
      </w:r>
      <w:r>
        <w:rPr>
          <w:rFonts w:cs="Times New Roman"/>
          <w:color w:val="000000"/>
        </w:rPr>
        <w:t xml:space="preserve"> and is in line the eligibility rules</w:t>
      </w:r>
    </w:p>
    <w:p w14:paraId="5757897F" w14:textId="533322A3" w:rsidR="00EE7C4C" w:rsidRDefault="00EE7C4C" w:rsidP="00EE7C4C">
      <w:pPr>
        <w:pStyle w:val="ListParagraph"/>
        <w:numPr>
          <w:ilvl w:val="0"/>
          <w:numId w:val="1"/>
        </w:numPr>
        <w:autoSpaceDE w:val="0"/>
        <w:autoSpaceDN w:val="0"/>
        <w:adjustRightInd w:val="0"/>
        <w:spacing w:after="0"/>
        <w:contextualSpacing w:val="0"/>
        <w:rPr>
          <w:rFonts w:cs="Times New Roman"/>
          <w:color w:val="000000"/>
        </w:rPr>
      </w:pPr>
      <w:r>
        <w:rPr>
          <w:rFonts w:cs="Times New Roman"/>
          <w:color w:val="000000"/>
        </w:rPr>
        <w:t>I</w:t>
      </w:r>
      <w:r w:rsidR="00F3740C" w:rsidRPr="009B7F14">
        <w:rPr>
          <w:rFonts w:cs="Times New Roman"/>
          <w:color w:val="000000"/>
        </w:rPr>
        <w:t xml:space="preserve">t relates to items approved under the </w:t>
      </w:r>
      <w:r w:rsidR="00C234F7">
        <w:rPr>
          <w:rFonts w:cs="Times New Roman"/>
          <w:color w:val="000000"/>
        </w:rPr>
        <w:t>project contract</w:t>
      </w:r>
    </w:p>
    <w:p w14:paraId="1DEF80C5" w14:textId="1A9EDC44" w:rsidR="00EE7C4C" w:rsidRDefault="00EE7C4C" w:rsidP="00EE7C4C">
      <w:pPr>
        <w:pStyle w:val="ListParagraph"/>
        <w:numPr>
          <w:ilvl w:val="0"/>
          <w:numId w:val="1"/>
        </w:numPr>
        <w:autoSpaceDE w:val="0"/>
        <w:autoSpaceDN w:val="0"/>
        <w:adjustRightInd w:val="0"/>
        <w:spacing w:after="0"/>
        <w:contextualSpacing w:val="0"/>
        <w:rPr>
          <w:rFonts w:cs="Times New Roman"/>
          <w:color w:val="000000"/>
        </w:rPr>
      </w:pPr>
      <w:r>
        <w:rPr>
          <w:rFonts w:cs="Times New Roman"/>
          <w:color w:val="000000"/>
        </w:rPr>
        <w:t>T</w:t>
      </w:r>
      <w:r w:rsidR="00F3740C" w:rsidRPr="009B7F14">
        <w:rPr>
          <w:rFonts w:cs="Times New Roman"/>
          <w:color w:val="000000"/>
        </w:rPr>
        <w:t xml:space="preserve">erms of the </w:t>
      </w:r>
      <w:r w:rsidR="00C234F7">
        <w:rPr>
          <w:rFonts w:cs="Times New Roman"/>
          <w:color w:val="000000"/>
        </w:rPr>
        <w:t>contract</w:t>
      </w:r>
      <w:r w:rsidR="00F3740C" w:rsidRPr="009B7F14">
        <w:rPr>
          <w:rFonts w:cs="Times New Roman"/>
          <w:color w:val="000000"/>
        </w:rPr>
        <w:t xml:space="preserve"> have been complied with and that adequate supporting documentation, includ</w:t>
      </w:r>
      <w:r>
        <w:rPr>
          <w:rFonts w:cs="Times New Roman"/>
          <w:color w:val="000000"/>
        </w:rPr>
        <w:t>ing accounting records, exists</w:t>
      </w:r>
    </w:p>
    <w:p w14:paraId="6D439AE4" w14:textId="7D31BBEE" w:rsidR="00F3740C" w:rsidRPr="00EE7C4C" w:rsidRDefault="00F3740C" w:rsidP="00EE7C4C">
      <w:pPr>
        <w:autoSpaceDE w:val="0"/>
        <w:autoSpaceDN w:val="0"/>
        <w:adjustRightInd w:val="0"/>
        <w:spacing w:after="0"/>
        <w:rPr>
          <w:rFonts w:cs="Times New Roman"/>
          <w:color w:val="000000"/>
        </w:rPr>
      </w:pPr>
      <w:r w:rsidRPr="00EE7C4C">
        <w:rPr>
          <w:rFonts w:cs="Times New Roman"/>
          <w:color w:val="000000"/>
        </w:rPr>
        <w:t xml:space="preserve">In order for relying on the </w:t>
      </w:r>
      <w:r w:rsidR="00C234F7" w:rsidRPr="00EE7C4C">
        <w:rPr>
          <w:rFonts w:cs="Times New Roman"/>
          <w:color w:val="000000"/>
        </w:rPr>
        <w:t>reports</w:t>
      </w:r>
      <w:r w:rsidRPr="00EE7C4C">
        <w:rPr>
          <w:rFonts w:cs="Times New Roman"/>
          <w:color w:val="000000"/>
        </w:rPr>
        <w:t xml:space="preserve">, it is essential that the PO provides guidance on the scope of the work to be done </w:t>
      </w:r>
      <w:r w:rsidR="00054885">
        <w:rPr>
          <w:rFonts w:cs="Times New Roman"/>
          <w:color w:val="000000"/>
        </w:rPr>
        <w:t>and an indicative template of the</w:t>
      </w:r>
      <w:r w:rsidRPr="00EE7C4C">
        <w:rPr>
          <w:rFonts w:cs="Times New Roman"/>
          <w:color w:val="000000"/>
        </w:rPr>
        <w:t xml:space="preserve"> report </w:t>
      </w:r>
      <w:r w:rsidR="00054885">
        <w:rPr>
          <w:rFonts w:cs="Times New Roman"/>
          <w:color w:val="000000"/>
        </w:rPr>
        <w:t>which</w:t>
      </w:r>
      <w:r w:rsidRPr="00EE7C4C">
        <w:rPr>
          <w:rFonts w:cs="Times New Roman"/>
          <w:color w:val="000000"/>
        </w:rPr>
        <w:t xml:space="preserve"> should not be simply a one sentence certificate on the regularity of the </w:t>
      </w:r>
      <w:r w:rsidR="00054885">
        <w:rPr>
          <w:rFonts w:cs="Times New Roman"/>
          <w:color w:val="000000"/>
        </w:rPr>
        <w:t>expenditure</w:t>
      </w:r>
      <w:r w:rsidRPr="00EE7C4C">
        <w:rPr>
          <w:rFonts w:cs="Times New Roman"/>
          <w:color w:val="000000"/>
        </w:rPr>
        <w:t xml:space="preserve">, but should describe </w:t>
      </w:r>
      <w:r w:rsidR="00054885" w:rsidRPr="009B7F14">
        <w:rPr>
          <w:rFonts w:cs="Times New Roman"/>
          <w:color w:val="000000"/>
        </w:rPr>
        <w:t>the purpose</w:t>
      </w:r>
      <w:r w:rsidR="00054885">
        <w:rPr>
          <w:rFonts w:cs="Times New Roman"/>
          <w:color w:val="000000"/>
        </w:rPr>
        <w:t>,</w:t>
      </w:r>
      <w:r w:rsidR="00054885" w:rsidRPr="009B7F14">
        <w:rPr>
          <w:rFonts w:cs="Times New Roman"/>
          <w:color w:val="000000"/>
        </w:rPr>
        <w:t xml:space="preserve"> procedures </w:t>
      </w:r>
      <w:r w:rsidR="00054885">
        <w:rPr>
          <w:rFonts w:cs="Times New Roman"/>
          <w:color w:val="000000"/>
        </w:rPr>
        <w:t xml:space="preserve">and results </w:t>
      </w:r>
      <w:r w:rsidR="00054885" w:rsidRPr="009B7F14">
        <w:rPr>
          <w:rFonts w:cs="Times New Roman"/>
          <w:color w:val="000000"/>
        </w:rPr>
        <w:t>of the engagement in sufficient detail to enable the reader to understand the nature and the extent of the work performed</w:t>
      </w:r>
      <w:r w:rsidR="00054885">
        <w:rPr>
          <w:rFonts w:cs="Times New Roman"/>
          <w:color w:val="000000"/>
        </w:rPr>
        <w:t>.</w:t>
      </w:r>
    </w:p>
    <w:p w14:paraId="559A0055" w14:textId="3E35B8BC" w:rsidR="00F3740C" w:rsidRPr="009B7F14" w:rsidRDefault="00F3740C" w:rsidP="00376576">
      <w:pPr>
        <w:autoSpaceDE w:val="0"/>
        <w:autoSpaceDN w:val="0"/>
        <w:adjustRightInd w:val="0"/>
        <w:rPr>
          <w:rFonts w:cs="Times New Roman"/>
          <w:color w:val="000000"/>
        </w:rPr>
      </w:pPr>
      <w:r w:rsidRPr="009B7F14">
        <w:rPr>
          <w:rFonts w:cs="Times New Roman"/>
          <w:color w:val="000000"/>
        </w:rPr>
        <w:t>The International Federation of Accountants (IFAC) has issued an International Standard on Related Services (ISRS) 4400 “Engagements to perform agreed-upon procedures regarding financial information” which establishes standards and provide guidance on the auditor's professional responsibilities when an engagement to perform agreed-upon procedures regarding financial information is undertaken and on the form and content of the report that the auditor issues in connection with such an engagement. This type of agreed-upon procedure could be used</w:t>
      </w:r>
      <w:r w:rsidR="00054885">
        <w:rPr>
          <w:rFonts w:cs="Times New Roman"/>
          <w:color w:val="000000"/>
        </w:rPr>
        <w:t xml:space="preserve"> for this purpose</w:t>
      </w:r>
      <w:r w:rsidRPr="009B7F14">
        <w:rPr>
          <w:rFonts w:cs="Times New Roman"/>
          <w:color w:val="000000"/>
        </w:rPr>
        <w:t>.</w:t>
      </w:r>
    </w:p>
    <w:p w14:paraId="100B9F1D" w14:textId="31D5ACAF" w:rsidR="00F3740C" w:rsidRPr="009B7F14" w:rsidRDefault="00F3740C" w:rsidP="00376576">
      <w:pPr>
        <w:autoSpaceDE w:val="0"/>
        <w:autoSpaceDN w:val="0"/>
        <w:adjustRightInd w:val="0"/>
        <w:rPr>
          <w:rFonts w:cs="Times New Roman"/>
          <w:color w:val="000000"/>
        </w:rPr>
      </w:pPr>
      <w:r w:rsidRPr="009B7F14">
        <w:rPr>
          <w:rFonts w:cs="Times New Roman"/>
          <w:color w:val="000000"/>
        </w:rPr>
        <w:t>The objective of an agreed-upon procedures engagement is for the auditor to carry out procedures of an audit nature to which the auditor and any appropriate parties have agreed and to report on factual findings. Matters to be agreed include:</w:t>
      </w:r>
    </w:p>
    <w:p w14:paraId="28E3D408" w14:textId="75C49683" w:rsidR="00F3740C" w:rsidRPr="009B7F14" w:rsidRDefault="00054885" w:rsidP="004176FC">
      <w:pPr>
        <w:pStyle w:val="ListParagraph"/>
        <w:numPr>
          <w:ilvl w:val="0"/>
          <w:numId w:val="1"/>
        </w:numPr>
        <w:autoSpaceDE w:val="0"/>
        <w:autoSpaceDN w:val="0"/>
        <w:adjustRightInd w:val="0"/>
        <w:spacing w:after="0"/>
        <w:contextualSpacing w:val="0"/>
        <w:rPr>
          <w:rFonts w:cs="Times New Roman"/>
          <w:color w:val="000000"/>
        </w:rPr>
      </w:pPr>
      <w:r>
        <w:rPr>
          <w:rFonts w:cs="Times New Roman"/>
          <w:color w:val="000000"/>
        </w:rPr>
        <w:t>The nature of the engagement</w:t>
      </w:r>
    </w:p>
    <w:p w14:paraId="474A0F19" w14:textId="4E042E88" w:rsidR="00F3740C" w:rsidRPr="009B7F14" w:rsidRDefault="00054885" w:rsidP="004176FC">
      <w:pPr>
        <w:pStyle w:val="ListParagraph"/>
        <w:numPr>
          <w:ilvl w:val="0"/>
          <w:numId w:val="1"/>
        </w:numPr>
        <w:autoSpaceDE w:val="0"/>
        <w:autoSpaceDN w:val="0"/>
        <w:adjustRightInd w:val="0"/>
        <w:spacing w:after="0"/>
        <w:contextualSpacing w:val="0"/>
        <w:rPr>
          <w:rFonts w:cs="Times New Roman"/>
          <w:color w:val="000000"/>
        </w:rPr>
      </w:pPr>
      <w:r>
        <w:rPr>
          <w:rFonts w:cs="Times New Roman"/>
          <w:color w:val="000000"/>
        </w:rPr>
        <w:t>The purpose of the engagement</w:t>
      </w:r>
    </w:p>
    <w:p w14:paraId="7F3203E6" w14:textId="10875446" w:rsidR="00F3740C" w:rsidRPr="009B7F14" w:rsidRDefault="00F3740C" w:rsidP="004176FC">
      <w:pPr>
        <w:pStyle w:val="ListParagraph"/>
        <w:numPr>
          <w:ilvl w:val="0"/>
          <w:numId w:val="1"/>
        </w:numPr>
        <w:autoSpaceDE w:val="0"/>
        <w:autoSpaceDN w:val="0"/>
        <w:adjustRightInd w:val="0"/>
        <w:spacing w:after="0"/>
        <w:contextualSpacing w:val="0"/>
        <w:rPr>
          <w:rFonts w:cs="Times New Roman"/>
          <w:color w:val="000000"/>
        </w:rPr>
      </w:pPr>
      <w:r w:rsidRPr="009B7F14">
        <w:rPr>
          <w:rFonts w:cs="Times New Roman"/>
          <w:color w:val="000000"/>
        </w:rPr>
        <w:t>The identification of the financial information to which the agreed-</w:t>
      </w:r>
      <w:r w:rsidR="00054885">
        <w:rPr>
          <w:rFonts w:cs="Times New Roman"/>
          <w:color w:val="000000"/>
        </w:rPr>
        <w:t>upon procedures will be applied</w:t>
      </w:r>
    </w:p>
    <w:p w14:paraId="3CCC9C3F" w14:textId="74DB449D" w:rsidR="00F3740C" w:rsidRPr="009B7F14" w:rsidRDefault="00F3740C" w:rsidP="004176FC">
      <w:pPr>
        <w:pStyle w:val="ListParagraph"/>
        <w:numPr>
          <w:ilvl w:val="0"/>
          <w:numId w:val="1"/>
        </w:numPr>
        <w:autoSpaceDE w:val="0"/>
        <w:autoSpaceDN w:val="0"/>
        <w:adjustRightInd w:val="0"/>
        <w:spacing w:after="0"/>
        <w:contextualSpacing w:val="0"/>
        <w:rPr>
          <w:rFonts w:cs="Times New Roman"/>
          <w:color w:val="000000"/>
        </w:rPr>
      </w:pPr>
      <w:r w:rsidRPr="009B7F14">
        <w:rPr>
          <w:rFonts w:cs="Times New Roman"/>
          <w:color w:val="000000"/>
        </w:rPr>
        <w:t>The nature, timing and extent of the sp</w:t>
      </w:r>
      <w:r w:rsidR="00054885">
        <w:rPr>
          <w:rFonts w:cs="Times New Roman"/>
          <w:color w:val="000000"/>
        </w:rPr>
        <w:t>ecific procedures to be applied</w:t>
      </w:r>
    </w:p>
    <w:p w14:paraId="1092E2F3" w14:textId="3C85B5BD" w:rsidR="00F3740C" w:rsidRPr="009B7F14" w:rsidRDefault="00F3740C" w:rsidP="004176FC">
      <w:pPr>
        <w:pStyle w:val="ListParagraph"/>
        <w:numPr>
          <w:ilvl w:val="0"/>
          <w:numId w:val="1"/>
        </w:numPr>
        <w:autoSpaceDE w:val="0"/>
        <w:autoSpaceDN w:val="0"/>
        <w:adjustRightInd w:val="0"/>
        <w:spacing w:after="0"/>
        <w:contextualSpacing w:val="0"/>
        <w:rPr>
          <w:rFonts w:cs="Times New Roman"/>
          <w:color w:val="000000"/>
        </w:rPr>
      </w:pPr>
      <w:r w:rsidRPr="009B7F14">
        <w:rPr>
          <w:rFonts w:cs="Times New Roman"/>
          <w:color w:val="000000"/>
        </w:rPr>
        <w:t>The anticipated form of</w:t>
      </w:r>
      <w:r w:rsidR="00054885">
        <w:rPr>
          <w:rFonts w:cs="Times New Roman"/>
          <w:color w:val="000000"/>
        </w:rPr>
        <w:t xml:space="preserve"> the report of factual findings</w:t>
      </w:r>
    </w:p>
    <w:p w14:paraId="578863C7" w14:textId="288AF537" w:rsidR="00F3740C" w:rsidRPr="009B7F14" w:rsidRDefault="00054885" w:rsidP="00376576">
      <w:pPr>
        <w:autoSpaceDE w:val="0"/>
        <w:autoSpaceDN w:val="0"/>
        <w:adjustRightInd w:val="0"/>
        <w:rPr>
          <w:rFonts w:cs="Times New Roman"/>
          <w:color w:val="000000"/>
        </w:rPr>
      </w:pPr>
      <w:r>
        <w:rPr>
          <w:rFonts w:cs="Times New Roman"/>
          <w:color w:val="000000"/>
        </w:rPr>
        <w:t xml:space="preserve">The </w:t>
      </w:r>
      <w:r w:rsidR="00F3740C" w:rsidRPr="009B7F14">
        <w:rPr>
          <w:rFonts w:cs="Times New Roman"/>
          <w:color w:val="000000"/>
        </w:rPr>
        <w:t>ISRS 4400 also sets out useful templates for engagement letters and for reports on factual findings.</w:t>
      </w:r>
    </w:p>
    <w:p w14:paraId="2668A7C8" w14:textId="681D80FE" w:rsidR="009E6FA0" w:rsidRDefault="00F3740C" w:rsidP="00376576">
      <w:pPr>
        <w:rPr>
          <w:rFonts w:cs="Times New Roman"/>
          <w:color w:val="000000"/>
        </w:rPr>
      </w:pPr>
      <w:r w:rsidRPr="009B7F14">
        <w:rPr>
          <w:rFonts w:cs="Times New Roman"/>
          <w:color w:val="000000"/>
        </w:rPr>
        <w:t>The annually a</w:t>
      </w:r>
      <w:r w:rsidR="00054885">
        <w:rPr>
          <w:rFonts w:cs="Times New Roman"/>
          <w:color w:val="000000"/>
        </w:rPr>
        <w:t xml:space="preserve">udited financial statement of an entity </w:t>
      </w:r>
      <w:r w:rsidRPr="009B7F14">
        <w:rPr>
          <w:rFonts w:cs="Times New Roman"/>
          <w:color w:val="000000"/>
        </w:rPr>
        <w:t xml:space="preserve">cannot replace </w:t>
      </w:r>
      <w:r w:rsidR="00054885">
        <w:rPr>
          <w:rFonts w:cs="Times New Roman"/>
          <w:color w:val="000000"/>
        </w:rPr>
        <w:t>the</w:t>
      </w:r>
      <w:r w:rsidRPr="009B7F14">
        <w:rPr>
          <w:rFonts w:cs="Times New Roman"/>
          <w:color w:val="000000"/>
        </w:rPr>
        <w:t xml:space="preserve"> specific auditor's </w:t>
      </w:r>
      <w:r w:rsidR="00054885">
        <w:rPr>
          <w:rFonts w:cs="Times New Roman"/>
          <w:color w:val="000000"/>
        </w:rPr>
        <w:t>report</w:t>
      </w:r>
      <w:r w:rsidRPr="009B7F14">
        <w:rPr>
          <w:rFonts w:cs="Times New Roman"/>
          <w:color w:val="000000"/>
        </w:rPr>
        <w:t xml:space="preserve"> </w:t>
      </w:r>
      <w:r w:rsidR="00054885" w:rsidRPr="009B7F14">
        <w:rPr>
          <w:rFonts w:cs="Times New Roman"/>
          <w:color w:val="000000"/>
        </w:rPr>
        <w:t xml:space="preserve">as foreseen in Reg. Art. </w:t>
      </w:r>
      <w:r w:rsidR="00054885">
        <w:rPr>
          <w:rFonts w:cs="Times New Roman"/>
          <w:color w:val="000000"/>
        </w:rPr>
        <w:t>8.1</w:t>
      </w:r>
      <w:r w:rsidR="00DE5468">
        <w:rPr>
          <w:rFonts w:cs="Times New Roman"/>
          <w:color w:val="000000"/>
        </w:rPr>
        <w:t>2</w:t>
      </w:r>
      <w:r w:rsidR="00054885">
        <w:rPr>
          <w:rFonts w:cs="Times New Roman"/>
          <w:color w:val="000000"/>
        </w:rPr>
        <w:t>.4.</w:t>
      </w:r>
    </w:p>
    <w:p w14:paraId="17F95902" w14:textId="77777777" w:rsidR="009E6FA0" w:rsidRPr="009B7F14" w:rsidRDefault="009E6FA0">
      <w:pPr>
        <w:spacing w:before="0" w:after="160"/>
        <w:jc w:val="left"/>
        <w:rPr>
          <w:rFonts w:eastAsia="MS Mincho" w:cs="Arial"/>
          <w:b/>
          <w:color w:val="000000"/>
          <w:spacing w:val="-10"/>
          <w:kern w:val="28"/>
          <w:sz w:val="32"/>
          <w:szCs w:val="32"/>
          <w:lang w:eastAsia="fr-FR"/>
        </w:rPr>
      </w:pPr>
      <w:bookmarkStart w:id="74" w:name="_Ref462300629"/>
      <w:bookmarkStart w:id="75" w:name="_Ref462300906"/>
      <w:r w:rsidRPr="009B7F14">
        <w:br w:type="page"/>
      </w:r>
    </w:p>
    <w:p w14:paraId="53D861CA" w14:textId="77777777" w:rsidR="005D4A0C" w:rsidRPr="009B7F14" w:rsidRDefault="005D4A0C" w:rsidP="00177429">
      <w:pPr>
        <w:pStyle w:val="Heading1"/>
      </w:pPr>
      <w:bookmarkStart w:id="76" w:name="_Toc484174853"/>
      <w:r w:rsidRPr="009B7F14">
        <w:t>Closure phase</w:t>
      </w:r>
      <w:bookmarkEnd w:id="74"/>
      <w:bookmarkEnd w:id="75"/>
      <w:bookmarkEnd w:id="76"/>
    </w:p>
    <w:p w14:paraId="2F2C67D6" w14:textId="77777777" w:rsidR="005D4A0C" w:rsidRPr="009B7F14" w:rsidRDefault="00D9579D" w:rsidP="00920571">
      <w:pPr>
        <w:pStyle w:val="Heading2"/>
      </w:pPr>
      <w:bookmarkStart w:id="77" w:name="_Ref461630088"/>
      <w:bookmarkStart w:id="78" w:name="_Toc484174854"/>
      <w:r w:rsidRPr="009B7F14">
        <w:t>Final balance (</w:t>
      </w:r>
      <w:r w:rsidR="00ED7943" w:rsidRPr="009B7F14">
        <w:t xml:space="preserve">Reg. </w:t>
      </w:r>
      <w:r w:rsidRPr="009B7F14">
        <w:t>Art. 9</w:t>
      </w:r>
      <w:r w:rsidR="005D4A0C" w:rsidRPr="009B7F14">
        <w:t>.4)</w:t>
      </w:r>
      <w:bookmarkEnd w:id="77"/>
      <w:bookmarkEnd w:id="78"/>
    </w:p>
    <w:p w14:paraId="55985455" w14:textId="6AAF98DC" w:rsidR="005D0B75" w:rsidRPr="009B7F14" w:rsidRDefault="005D0B75" w:rsidP="00376576">
      <w:r w:rsidRPr="009B7F14">
        <w:t xml:space="preserve">The final balance shall be paid based on the calculation in the financial annex of the </w:t>
      </w:r>
      <w:r w:rsidR="007A1507">
        <w:t>FPR</w:t>
      </w:r>
      <w:r w:rsidRPr="009B7F14">
        <w:t>, which is certified by the C</w:t>
      </w:r>
      <w:r w:rsidR="00D9579D" w:rsidRPr="009B7F14">
        <w:t>A</w:t>
      </w:r>
      <w:r w:rsidRPr="009B7F14">
        <w:t xml:space="preserve"> and approved by t</w:t>
      </w:r>
      <w:r w:rsidR="00D9579D" w:rsidRPr="009B7F14">
        <w:t xml:space="preserve">he </w:t>
      </w:r>
      <w:r w:rsidR="00C933D9" w:rsidRPr="009B7F14">
        <w:t>FMO</w:t>
      </w:r>
      <w:r w:rsidR="00D9579D" w:rsidRPr="009B7F14">
        <w:t xml:space="preserve"> in accordance with </w:t>
      </w:r>
      <w:r w:rsidR="00E715B2" w:rsidRPr="009B7F14">
        <w:t xml:space="preserve">Reg. </w:t>
      </w:r>
      <w:r w:rsidR="00D9579D" w:rsidRPr="009B7F14">
        <w:t>Art. 9</w:t>
      </w:r>
      <w:r w:rsidRPr="009B7F14">
        <w:t>.4. Similarly to the IFR, this report will also be customised to the specific programme, and the report will be submitted by the P</w:t>
      </w:r>
      <w:r w:rsidR="00D9579D" w:rsidRPr="009B7F14">
        <w:t>O</w:t>
      </w:r>
      <w:r w:rsidRPr="009B7F14">
        <w:t xml:space="preserve"> and certified by the C</w:t>
      </w:r>
      <w:r w:rsidR="00D9579D" w:rsidRPr="009B7F14">
        <w:t>A</w:t>
      </w:r>
      <w:r w:rsidRPr="009B7F14">
        <w:t xml:space="preserve"> through the </w:t>
      </w:r>
      <w:r w:rsidR="00786D68">
        <w:t>information system</w:t>
      </w:r>
      <w:r w:rsidRPr="009B7F14">
        <w:t xml:space="preserve"> interface</w:t>
      </w:r>
      <w:r w:rsidRPr="009B7F14">
        <w:rPr>
          <w:vertAlign w:val="superscript"/>
        </w:rPr>
        <w:footnoteReference w:id="16"/>
      </w:r>
      <w:r w:rsidRPr="009B7F14">
        <w:t>.</w:t>
      </w:r>
    </w:p>
    <w:p w14:paraId="4FE827AE" w14:textId="77777777" w:rsidR="005D0B75" w:rsidRPr="009B7F14" w:rsidRDefault="005D0B75" w:rsidP="00376576">
      <w:r w:rsidRPr="009B7F14">
        <w:t>The calculation of the final balance will take into consideration on the one hand total eligible expenditure reported by the P</w:t>
      </w:r>
      <w:r w:rsidR="00D9579D" w:rsidRPr="009B7F14">
        <w:t>O</w:t>
      </w:r>
      <w:r w:rsidRPr="009B7F14">
        <w:t>, taking into account any previous reimbursements, less the following amounts:</w:t>
      </w:r>
    </w:p>
    <w:p w14:paraId="18472025" w14:textId="77777777" w:rsidR="005D0B75" w:rsidRPr="009B7F14" w:rsidRDefault="003146B8" w:rsidP="009F01EE">
      <w:pPr>
        <w:numPr>
          <w:ilvl w:val="0"/>
          <w:numId w:val="13"/>
        </w:numPr>
        <w:contextualSpacing/>
      </w:pPr>
      <w:r>
        <w:t>T</w:t>
      </w:r>
      <w:r w:rsidR="005D0B75" w:rsidRPr="009B7F14">
        <w:t>he total advance and interim payments to the programme from the FMO,</w:t>
      </w:r>
    </w:p>
    <w:p w14:paraId="7BA8EE6D" w14:textId="77777777" w:rsidR="005D0B75" w:rsidRPr="009B7F14" w:rsidRDefault="003146B8" w:rsidP="009F01EE">
      <w:pPr>
        <w:numPr>
          <w:ilvl w:val="0"/>
          <w:numId w:val="13"/>
        </w:numPr>
        <w:contextualSpacing/>
      </w:pPr>
      <w:r>
        <w:t>A</w:t>
      </w:r>
      <w:r w:rsidR="005D0B75" w:rsidRPr="009B7F14">
        <w:t>ny co-financing from sources other than the EEA/N</w:t>
      </w:r>
      <w:r w:rsidR="00D9579D" w:rsidRPr="009B7F14">
        <w:t xml:space="preserve">orwegian </w:t>
      </w:r>
      <w:r w:rsidR="005D0B75" w:rsidRPr="009B7F14">
        <w:t>Financial Mechanism 20</w:t>
      </w:r>
      <w:r w:rsidR="00D9579D" w:rsidRPr="009B7F14">
        <w:t>14-2021</w:t>
      </w:r>
      <w:r w:rsidR="005D0B75" w:rsidRPr="009B7F14">
        <w:t>,</w:t>
      </w:r>
    </w:p>
    <w:p w14:paraId="1ACFB446" w14:textId="1A3B495D" w:rsidR="005D0B75" w:rsidRPr="009B7F14" w:rsidRDefault="003146B8" w:rsidP="009F01EE">
      <w:pPr>
        <w:numPr>
          <w:ilvl w:val="0"/>
          <w:numId w:val="13"/>
        </w:numPr>
        <w:contextualSpacing/>
      </w:pPr>
      <w:r>
        <w:t>T</w:t>
      </w:r>
      <w:r w:rsidR="005D0B75" w:rsidRPr="009B7F14">
        <w:t xml:space="preserve">otal interest earned until the date of the </w:t>
      </w:r>
      <w:r w:rsidR="007A1507">
        <w:t>FPR</w:t>
      </w:r>
      <w:r w:rsidR="005D0B75" w:rsidRPr="009B7F14">
        <w:t>, and</w:t>
      </w:r>
    </w:p>
    <w:p w14:paraId="2D43B1D4" w14:textId="77777777" w:rsidR="005D0B75" w:rsidRPr="009B7F14" w:rsidRDefault="003146B8" w:rsidP="009F01EE">
      <w:pPr>
        <w:numPr>
          <w:ilvl w:val="0"/>
          <w:numId w:val="13"/>
        </w:numPr>
        <w:contextualSpacing/>
      </w:pPr>
      <w:r>
        <w:t>A</w:t>
      </w:r>
      <w:r w:rsidR="005D0B75" w:rsidRPr="009B7F14">
        <w:t>ny funds reimbursed from P</w:t>
      </w:r>
      <w:r w:rsidR="00D9579D" w:rsidRPr="009B7F14">
        <w:t>Ps</w:t>
      </w:r>
      <w:r w:rsidR="005D0B75" w:rsidRPr="009B7F14">
        <w:t xml:space="preserve"> to the P</w:t>
      </w:r>
      <w:r w:rsidR="00D9579D" w:rsidRPr="009B7F14">
        <w:t>O</w:t>
      </w:r>
      <w:r w:rsidR="005D0B75" w:rsidRPr="009B7F14">
        <w:t>, not paid to other projects or reimbursed to the FMO.</w:t>
      </w:r>
    </w:p>
    <w:p w14:paraId="1909E809" w14:textId="42259C23" w:rsidR="005D0B75" w:rsidRPr="009B7F14" w:rsidRDefault="005D0B75" w:rsidP="00755E65">
      <w:r w:rsidRPr="009B7F14">
        <w:t>The final balance will either be an amount payable from the FMO to the P</w:t>
      </w:r>
      <w:r w:rsidR="00D9579D" w:rsidRPr="009B7F14">
        <w:t>O</w:t>
      </w:r>
      <w:r w:rsidRPr="009B7F14">
        <w:t>, or an amount payable from the P</w:t>
      </w:r>
      <w:r w:rsidR="00D9579D" w:rsidRPr="009B7F14">
        <w:t>O</w:t>
      </w:r>
      <w:r w:rsidRPr="009B7F14">
        <w:t xml:space="preserve"> to the FMO.</w:t>
      </w:r>
      <w:r w:rsidR="00477DB3" w:rsidRPr="009B7F14">
        <w:t xml:space="preserve"> The final balance payable to the PO or to the FM</w:t>
      </w:r>
      <w:r w:rsidR="00C933D9" w:rsidRPr="009B7F14">
        <w:t>O</w:t>
      </w:r>
      <w:r w:rsidR="00477DB3" w:rsidRPr="009B7F14">
        <w:t xml:space="preserve"> shall be transferred/reimbursed no later than one month after the </w:t>
      </w:r>
      <w:r w:rsidR="00C933D9" w:rsidRPr="009B7F14">
        <w:t>FMO</w:t>
      </w:r>
      <w:r w:rsidR="00477DB3" w:rsidRPr="009B7F14">
        <w:t xml:space="preserve"> approval of the </w:t>
      </w:r>
      <w:r w:rsidR="007A1507">
        <w:t>FPR</w:t>
      </w:r>
      <w:r w:rsidR="00477DB3" w:rsidRPr="009B7F14">
        <w:t xml:space="preserve">. Any interest earned on the bank account of the PO between the date of the </w:t>
      </w:r>
      <w:r w:rsidR="007A1507">
        <w:t>FPR</w:t>
      </w:r>
      <w:r w:rsidR="00477DB3" w:rsidRPr="009B7F14">
        <w:t xml:space="preserve"> and the reimbursement date shall be included in the reimbursement.</w:t>
      </w:r>
    </w:p>
    <w:p w14:paraId="2C1768D4" w14:textId="144150FC" w:rsidR="005D0B75" w:rsidRPr="009B7F14" w:rsidRDefault="00CC3C4F" w:rsidP="00755E65">
      <w:r w:rsidRPr="009B7F14">
        <w:rPr>
          <w:noProof/>
          <w:lang w:eastAsia="en-GB"/>
        </w:rPr>
        <mc:AlternateContent>
          <mc:Choice Requires="wps">
            <w:drawing>
              <wp:anchor distT="45720" distB="45720" distL="114300" distR="114300" simplePos="0" relativeHeight="251697152" behindDoc="1" locked="0" layoutInCell="1" allowOverlap="1" wp14:anchorId="2AFA5ACA" wp14:editId="7BC327C4">
                <wp:simplePos x="0" y="0"/>
                <wp:positionH relativeFrom="margin">
                  <wp:align>center</wp:align>
                </wp:positionH>
                <wp:positionV relativeFrom="paragraph">
                  <wp:posOffset>605790</wp:posOffset>
                </wp:positionV>
                <wp:extent cx="5476875" cy="5048250"/>
                <wp:effectExtent l="0" t="0" r="28575" b="1905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5048250"/>
                        </a:xfrm>
                        <a:prstGeom prst="rect">
                          <a:avLst/>
                        </a:prstGeom>
                        <a:solidFill>
                          <a:srgbClr val="FFFFFF"/>
                        </a:solidFill>
                        <a:ln w="9525">
                          <a:solidFill>
                            <a:srgbClr val="000000"/>
                          </a:solidFill>
                          <a:miter lim="800000"/>
                          <a:headEnd/>
                          <a:tailEnd/>
                        </a:ln>
                      </wps:spPr>
                      <wps:txbx>
                        <w:txbxContent>
                          <w:p w14:paraId="70437393" w14:textId="77777777" w:rsidR="00A87AB3" w:rsidRPr="00AD05CC" w:rsidRDefault="00A87AB3">
                            <w:pPr>
                              <w:rPr>
                                <w:b/>
                              </w:rPr>
                            </w:pPr>
                            <w:r w:rsidRPr="00AD05CC">
                              <w:rPr>
                                <w:b/>
                              </w:rPr>
                              <w:t>Example:</w:t>
                            </w:r>
                          </w:p>
                          <w:tbl>
                            <w:tblPr>
                              <w:tblW w:w="5000" w:type="pct"/>
                              <w:tblLook w:val="04A0" w:firstRow="1" w:lastRow="0" w:firstColumn="1" w:lastColumn="0" w:noHBand="0" w:noVBand="1"/>
                            </w:tblPr>
                            <w:tblGrid>
                              <w:gridCol w:w="962"/>
                              <w:gridCol w:w="962"/>
                              <w:gridCol w:w="962"/>
                              <w:gridCol w:w="3479"/>
                              <w:gridCol w:w="972"/>
                              <w:gridCol w:w="971"/>
                            </w:tblGrid>
                            <w:tr w:rsidR="00A87AB3" w:rsidRPr="00AD05CC" w14:paraId="6BC7AFCE" w14:textId="77777777" w:rsidTr="00E9282E">
                              <w:trPr>
                                <w:trHeight w:val="227"/>
                              </w:trPr>
                              <w:tc>
                                <w:tcPr>
                                  <w:tcW w:w="3838" w:type="pct"/>
                                  <w:gridSpan w:val="4"/>
                                  <w:tcBorders>
                                    <w:top w:val="single" w:sz="8" w:space="0" w:color="auto"/>
                                    <w:left w:val="single" w:sz="8" w:space="0" w:color="auto"/>
                                    <w:bottom w:val="single" w:sz="4" w:space="0" w:color="000000"/>
                                    <w:right w:val="nil"/>
                                  </w:tcBorders>
                                  <w:shd w:val="clear" w:color="auto" w:fill="D9D9D9" w:themeFill="background1" w:themeFillShade="D9"/>
                                  <w:noWrap/>
                                  <w:vAlign w:val="center"/>
                                  <w:hideMark/>
                                </w:tcPr>
                                <w:p w14:paraId="66B5C636" w14:textId="1BBBEF50" w:rsidR="00A87AB3" w:rsidRPr="00AD05CC" w:rsidRDefault="00A87AB3" w:rsidP="00256489">
                                  <w:pPr>
                                    <w:spacing w:after="0" w:line="240" w:lineRule="auto"/>
                                    <w:rPr>
                                      <w:rFonts w:eastAsia="Times New Roman" w:cs="Arial"/>
                                      <w:bCs/>
                                      <w:sz w:val="16"/>
                                      <w:szCs w:val="28"/>
                                      <w:lang w:eastAsia="en-GB"/>
                                    </w:rPr>
                                  </w:pPr>
                                  <w:r w:rsidRPr="00AD05CC">
                                    <w:rPr>
                                      <w:rFonts w:eastAsia="Times New Roman" w:cs="Arial"/>
                                      <w:bCs/>
                                      <w:sz w:val="16"/>
                                      <w:szCs w:val="28"/>
                                      <w:lang w:eastAsia="en-GB"/>
                                    </w:rPr>
                                    <w:t>Calculation of the final balance</w:t>
                                  </w:r>
                                  <w:r>
                                    <w:rPr>
                                      <w:rFonts w:eastAsia="Times New Roman" w:cs="Arial"/>
                                      <w:bCs/>
                                      <w:sz w:val="16"/>
                                      <w:szCs w:val="28"/>
                                      <w:lang w:eastAsia="en-GB"/>
                                    </w:rPr>
                                    <w:t xml:space="preserve"> </w:t>
                                  </w:r>
                                </w:p>
                              </w:tc>
                              <w:tc>
                                <w:tcPr>
                                  <w:tcW w:w="581" w:type="pct"/>
                                  <w:tcBorders>
                                    <w:top w:val="single" w:sz="8" w:space="0" w:color="auto"/>
                                    <w:left w:val="nil"/>
                                    <w:bottom w:val="single" w:sz="4" w:space="0" w:color="000000"/>
                                    <w:right w:val="nil"/>
                                  </w:tcBorders>
                                  <w:shd w:val="clear" w:color="auto" w:fill="D9D9D9" w:themeFill="background1" w:themeFillShade="D9"/>
                                  <w:vAlign w:val="center"/>
                                  <w:hideMark/>
                                </w:tcPr>
                                <w:p w14:paraId="6681F08A" w14:textId="77777777" w:rsidR="00A87AB3" w:rsidRPr="00AD05CC" w:rsidRDefault="00A87AB3" w:rsidP="00256489">
                                  <w:pPr>
                                    <w:spacing w:after="0" w:line="240" w:lineRule="auto"/>
                                    <w:rPr>
                                      <w:rFonts w:eastAsia="Times New Roman" w:cs="Arial"/>
                                      <w:bCs/>
                                      <w:sz w:val="16"/>
                                      <w:szCs w:val="28"/>
                                      <w:lang w:eastAsia="en-GB"/>
                                    </w:rPr>
                                  </w:pPr>
                                  <w:r w:rsidRPr="00AD05CC">
                                    <w:rPr>
                                      <w:rFonts w:eastAsia="Times New Roman" w:cs="Arial"/>
                                      <w:bCs/>
                                      <w:sz w:val="16"/>
                                      <w:szCs w:val="28"/>
                                      <w:lang w:eastAsia="en-GB"/>
                                    </w:rPr>
                                    <w:t> </w:t>
                                  </w:r>
                                </w:p>
                              </w:tc>
                              <w:tc>
                                <w:tcPr>
                                  <w:tcW w:w="581" w:type="pct"/>
                                  <w:tcBorders>
                                    <w:top w:val="single" w:sz="8" w:space="0" w:color="auto"/>
                                    <w:left w:val="nil"/>
                                    <w:bottom w:val="single" w:sz="4" w:space="0" w:color="000000"/>
                                    <w:right w:val="single" w:sz="4" w:space="0" w:color="000000"/>
                                  </w:tcBorders>
                                  <w:shd w:val="clear" w:color="auto" w:fill="D9D9D9" w:themeFill="background1" w:themeFillShade="D9"/>
                                  <w:vAlign w:val="center"/>
                                  <w:hideMark/>
                                </w:tcPr>
                                <w:p w14:paraId="21F5BFB1" w14:textId="77777777" w:rsidR="00A87AB3" w:rsidRPr="00AD05CC" w:rsidRDefault="00A87AB3" w:rsidP="00256489">
                                  <w:pPr>
                                    <w:spacing w:after="0" w:line="240" w:lineRule="auto"/>
                                    <w:rPr>
                                      <w:rFonts w:eastAsia="Times New Roman" w:cs="Arial"/>
                                      <w:bCs/>
                                      <w:sz w:val="16"/>
                                      <w:szCs w:val="28"/>
                                      <w:lang w:eastAsia="en-GB"/>
                                    </w:rPr>
                                  </w:pPr>
                                  <w:r w:rsidRPr="00AD05CC">
                                    <w:rPr>
                                      <w:rFonts w:eastAsia="Times New Roman" w:cs="Arial"/>
                                      <w:bCs/>
                                      <w:sz w:val="16"/>
                                      <w:szCs w:val="28"/>
                                      <w:lang w:eastAsia="en-GB"/>
                                    </w:rPr>
                                    <w:t> </w:t>
                                  </w:r>
                                </w:p>
                              </w:tc>
                            </w:tr>
                            <w:tr w:rsidR="00A87AB3" w:rsidRPr="00AD05CC" w14:paraId="06BF0534" w14:textId="77777777" w:rsidTr="0027466E">
                              <w:trPr>
                                <w:trHeight w:val="189"/>
                              </w:trPr>
                              <w:tc>
                                <w:tcPr>
                                  <w:tcW w:w="581" w:type="pct"/>
                                  <w:tcBorders>
                                    <w:top w:val="single" w:sz="4" w:space="0" w:color="000000"/>
                                    <w:left w:val="nil"/>
                                    <w:bottom w:val="nil"/>
                                    <w:right w:val="nil"/>
                                  </w:tcBorders>
                                  <w:shd w:val="clear" w:color="auto" w:fill="auto"/>
                                  <w:noWrap/>
                                  <w:vAlign w:val="center"/>
                                  <w:hideMark/>
                                </w:tcPr>
                                <w:p w14:paraId="66B06F1D" w14:textId="77777777" w:rsidR="00A87AB3" w:rsidRPr="00AD05CC" w:rsidRDefault="00A87AB3" w:rsidP="00256489">
                                  <w:pPr>
                                    <w:spacing w:after="0" w:line="240" w:lineRule="auto"/>
                                    <w:rPr>
                                      <w:rFonts w:eastAsia="Times New Roman" w:cs="Arial"/>
                                      <w:bCs/>
                                      <w:sz w:val="16"/>
                                      <w:szCs w:val="28"/>
                                      <w:lang w:eastAsia="en-GB"/>
                                    </w:rPr>
                                  </w:pPr>
                                </w:p>
                              </w:tc>
                              <w:tc>
                                <w:tcPr>
                                  <w:tcW w:w="581" w:type="pct"/>
                                  <w:tcBorders>
                                    <w:top w:val="single" w:sz="4" w:space="0" w:color="000000"/>
                                    <w:left w:val="nil"/>
                                    <w:bottom w:val="nil"/>
                                    <w:right w:val="nil"/>
                                  </w:tcBorders>
                                  <w:shd w:val="clear" w:color="auto" w:fill="auto"/>
                                  <w:noWrap/>
                                  <w:vAlign w:val="bottom"/>
                                  <w:hideMark/>
                                </w:tcPr>
                                <w:p w14:paraId="19A3A05A" w14:textId="77777777" w:rsidR="00A87AB3" w:rsidRPr="00AD05CC" w:rsidRDefault="00A87AB3" w:rsidP="00256489">
                                  <w:pPr>
                                    <w:spacing w:after="0" w:line="240" w:lineRule="auto"/>
                                    <w:ind w:firstLineChars="100" w:firstLine="160"/>
                                    <w:jc w:val="right"/>
                                    <w:rPr>
                                      <w:rFonts w:eastAsia="Times New Roman" w:cs="Times New Roman"/>
                                      <w:sz w:val="16"/>
                                      <w:lang w:eastAsia="en-GB"/>
                                    </w:rPr>
                                  </w:pPr>
                                </w:p>
                              </w:tc>
                              <w:tc>
                                <w:tcPr>
                                  <w:tcW w:w="581" w:type="pct"/>
                                  <w:tcBorders>
                                    <w:top w:val="single" w:sz="4" w:space="0" w:color="000000"/>
                                    <w:left w:val="nil"/>
                                    <w:bottom w:val="nil"/>
                                    <w:right w:val="nil"/>
                                  </w:tcBorders>
                                  <w:shd w:val="clear" w:color="auto" w:fill="auto"/>
                                  <w:noWrap/>
                                  <w:vAlign w:val="bottom"/>
                                  <w:hideMark/>
                                </w:tcPr>
                                <w:p w14:paraId="354B56FE" w14:textId="77777777" w:rsidR="00A87AB3" w:rsidRPr="00AD05CC" w:rsidRDefault="00A87AB3" w:rsidP="00256489">
                                  <w:pPr>
                                    <w:spacing w:after="0" w:line="240" w:lineRule="auto"/>
                                    <w:rPr>
                                      <w:rFonts w:eastAsia="Times New Roman" w:cs="Times New Roman"/>
                                      <w:sz w:val="16"/>
                                      <w:lang w:eastAsia="en-GB"/>
                                    </w:rPr>
                                  </w:pPr>
                                </w:p>
                              </w:tc>
                              <w:tc>
                                <w:tcPr>
                                  <w:tcW w:w="2095" w:type="pct"/>
                                  <w:tcBorders>
                                    <w:top w:val="single" w:sz="4" w:space="0" w:color="000000"/>
                                    <w:left w:val="nil"/>
                                    <w:bottom w:val="nil"/>
                                    <w:right w:val="nil"/>
                                  </w:tcBorders>
                                  <w:shd w:val="clear" w:color="auto" w:fill="auto"/>
                                  <w:noWrap/>
                                  <w:vAlign w:val="bottom"/>
                                  <w:hideMark/>
                                </w:tcPr>
                                <w:p w14:paraId="26550DE4" w14:textId="77777777" w:rsidR="00A87AB3" w:rsidRPr="00AD05CC" w:rsidRDefault="00A87AB3" w:rsidP="00256489">
                                  <w:pPr>
                                    <w:spacing w:after="0" w:line="240" w:lineRule="auto"/>
                                    <w:rPr>
                                      <w:rFonts w:eastAsia="Times New Roman" w:cs="Times New Roman"/>
                                      <w:sz w:val="16"/>
                                      <w:lang w:eastAsia="en-GB"/>
                                    </w:rPr>
                                  </w:pPr>
                                </w:p>
                              </w:tc>
                              <w:tc>
                                <w:tcPr>
                                  <w:tcW w:w="581" w:type="pct"/>
                                  <w:tcBorders>
                                    <w:top w:val="single" w:sz="4" w:space="0" w:color="000000"/>
                                    <w:left w:val="nil"/>
                                    <w:bottom w:val="nil"/>
                                    <w:right w:val="nil"/>
                                  </w:tcBorders>
                                  <w:shd w:val="clear" w:color="auto" w:fill="auto"/>
                                  <w:noWrap/>
                                  <w:vAlign w:val="bottom"/>
                                  <w:hideMark/>
                                </w:tcPr>
                                <w:p w14:paraId="28029F79" w14:textId="77777777" w:rsidR="00A87AB3" w:rsidRPr="00AD05CC" w:rsidRDefault="00A87AB3" w:rsidP="00256489">
                                  <w:pPr>
                                    <w:spacing w:after="0" w:line="240" w:lineRule="auto"/>
                                    <w:rPr>
                                      <w:rFonts w:eastAsia="Times New Roman" w:cs="Times New Roman"/>
                                      <w:sz w:val="16"/>
                                      <w:lang w:eastAsia="en-GB"/>
                                    </w:rPr>
                                  </w:pPr>
                                </w:p>
                              </w:tc>
                              <w:tc>
                                <w:tcPr>
                                  <w:tcW w:w="581" w:type="pct"/>
                                  <w:tcBorders>
                                    <w:top w:val="single" w:sz="4" w:space="0" w:color="000000"/>
                                    <w:left w:val="nil"/>
                                    <w:bottom w:val="nil"/>
                                    <w:right w:val="nil"/>
                                  </w:tcBorders>
                                  <w:shd w:val="clear" w:color="auto" w:fill="auto"/>
                                  <w:noWrap/>
                                  <w:vAlign w:val="bottom"/>
                                  <w:hideMark/>
                                </w:tcPr>
                                <w:p w14:paraId="07ACAEEA" w14:textId="77777777" w:rsidR="00A87AB3" w:rsidRPr="00AD05CC" w:rsidRDefault="00A87AB3" w:rsidP="00256489">
                                  <w:pPr>
                                    <w:spacing w:after="0" w:line="240" w:lineRule="auto"/>
                                    <w:rPr>
                                      <w:rFonts w:eastAsia="Times New Roman" w:cs="Times New Roman"/>
                                      <w:sz w:val="16"/>
                                      <w:lang w:eastAsia="en-GB"/>
                                    </w:rPr>
                                  </w:pPr>
                                </w:p>
                              </w:tc>
                            </w:tr>
                            <w:tr w:rsidR="00A87AB3" w:rsidRPr="00AD05CC" w14:paraId="0984496D" w14:textId="77777777" w:rsidTr="00E9282E">
                              <w:trPr>
                                <w:trHeight w:val="189"/>
                              </w:trPr>
                              <w:tc>
                                <w:tcPr>
                                  <w:tcW w:w="174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374639" w14:textId="77777777" w:rsidR="00A87AB3" w:rsidRPr="00AD05CC" w:rsidRDefault="00A87AB3" w:rsidP="00256489">
                                  <w:pPr>
                                    <w:spacing w:after="0" w:line="240" w:lineRule="auto"/>
                                    <w:rPr>
                                      <w:rFonts w:eastAsia="Times New Roman" w:cs="Arial"/>
                                      <w:bCs/>
                                      <w:sz w:val="16"/>
                                      <w:lang w:eastAsia="en-GB"/>
                                    </w:rPr>
                                  </w:pPr>
                                  <w:r w:rsidRPr="00AD05CC">
                                    <w:rPr>
                                      <w:rFonts w:eastAsia="Times New Roman" w:cs="Arial"/>
                                      <w:bCs/>
                                      <w:sz w:val="16"/>
                                      <w:lang w:eastAsia="en-GB"/>
                                    </w:rPr>
                                    <w:t>Total eligible expenditure</w:t>
                                  </w:r>
                                </w:p>
                              </w:tc>
                              <w:tc>
                                <w:tcPr>
                                  <w:tcW w:w="2095" w:type="pct"/>
                                  <w:tcBorders>
                                    <w:top w:val="single" w:sz="4" w:space="0" w:color="auto"/>
                                    <w:left w:val="nil"/>
                                    <w:bottom w:val="single" w:sz="4" w:space="0" w:color="auto"/>
                                    <w:right w:val="single" w:sz="4" w:space="0" w:color="auto"/>
                                  </w:tcBorders>
                                  <w:shd w:val="clear" w:color="auto" w:fill="auto"/>
                                  <w:noWrap/>
                                  <w:vAlign w:val="center"/>
                                  <w:hideMark/>
                                </w:tcPr>
                                <w:p w14:paraId="088DEA9A" w14:textId="1064DC5D" w:rsidR="00A87AB3" w:rsidRPr="00AD05CC" w:rsidRDefault="00A87AB3" w:rsidP="007A1507">
                                  <w:pPr>
                                    <w:spacing w:after="0" w:line="240" w:lineRule="auto"/>
                                    <w:jc w:val="right"/>
                                    <w:rPr>
                                      <w:rFonts w:eastAsia="Times New Roman" w:cs="Arial"/>
                                      <w:sz w:val="16"/>
                                      <w:lang w:eastAsia="en-GB"/>
                                    </w:rPr>
                                  </w:pPr>
                                  <w:r>
                                    <w:rPr>
                                      <w:rFonts w:eastAsia="Times New Roman" w:cs="Arial"/>
                                      <w:sz w:val="16"/>
                                      <w:lang w:eastAsia="en-GB"/>
                                    </w:rPr>
                                    <w:t xml:space="preserve"> </w:t>
                                  </w: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1</w:t>
                                  </w:r>
                                  <w:r>
                                    <w:rPr>
                                      <w:rFonts w:eastAsia="Times New Roman" w:cs="Arial"/>
                                      <w:sz w:val="16"/>
                                      <w:lang w:eastAsia="en-GB"/>
                                    </w:rPr>
                                    <w:t>,</w:t>
                                  </w:r>
                                  <w:r w:rsidRPr="00AD05CC">
                                    <w:rPr>
                                      <w:rFonts w:eastAsia="Times New Roman" w:cs="Arial"/>
                                      <w:sz w:val="16"/>
                                      <w:lang w:eastAsia="en-GB"/>
                                    </w:rPr>
                                    <w:t xml:space="preserve">300000 </w:t>
                                  </w:r>
                                </w:p>
                              </w:tc>
                              <w:tc>
                                <w:tcPr>
                                  <w:tcW w:w="581" w:type="pct"/>
                                  <w:tcBorders>
                                    <w:top w:val="nil"/>
                                    <w:left w:val="nil"/>
                                    <w:bottom w:val="nil"/>
                                    <w:right w:val="nil"/>
                                  </w:tcBorders>
                                  <w:shd w:val="clear" w:color="auto" w:fill="auto"/>
                                  <w:noWrap/>
                                  <w:vAlign w:val="bottom"/>
                                  <w:hideMark/>
                                </w:tcPr>
                                <w:p w14:paraId="476DCD04" w14:textId="77777777" w:rsidR="00A87AB3" w:rsidRPr="00AD05CC" w:rsidRDefault="00A87AB3" w:rsidP="00256489">
                                  <w:pPr>
                                    <w:spacing w:after="0" w:line="240" w:lineRule="auto"/>
                                    <w:jc w:val="right"/>
                                    <w:rPr>
                                      <w:rFonts w:eastAsia="Times New Roman" w:cs="Arial"/>
                                      <w:sz w:val="16"/>
                                      <w:lang w:eastAsia="en-GB"/>
                                    </w:rPr>
                                  </w:pPr>
                                </w:p>
                              </w:tc>
                              <w:tc>
                                <w:tcPr>
                                  <w:tcW w:w="581" w:type="pct"/>
                                  <w:tcBorders>
                                    <w:top w:val="nil"/>
                                    <w:left w:val="nil"/>
                                    <w:bottom w:val="nil"/>
                                    <w:right w:val="nil"/>
                                  </w:tcBorders>
                                  <w:shd w:val="clear" w:color="auto" w:fill="auto"/>
                                  <w:noWrap/>
                                  <w:vAlign w:val="bottom"/>
                                  <w:hideMark/>
                                </w:tcPr>
                                <w:p w14:paraId="5A5EFFB3" w14:textId="77777777" w:rsidR="00A87AB3" w:rsidRPr="00AD05CC" w:rsidRDefault="00A87AB3" w:rsidP="00256489">
                                  <w:pPr>
                                    <w:spacing w:after="0" w:line="240" w:lineRule="auto"/>
                                    <w:rPr>
                                      <w:rFonts w:eastAsia="Times New Roman" w:cs="Times New Roman"/>
                                      <w:sz w:val="16"/>
                                      <w:lang w:eastAsia="en-GB"/>
                                    </w:rPr>
                                  </w:pPr>
                                </w:p>
                              </w:tc>
                            </w:tr>
                            <w:tr w:rsidR="00A87AB3" w:rsidRPr="00AD05CC" w14:paraId="2C0A7393" w14:textId="77777777" w:rsidTr="00E9282E">
                              <w:trPr>
                                <w:trHeight w:val="189"/>
                              </w:trPr>
                              <w:tc>
                                <w:tcPr>
                                  <w:tcW w:w="174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019472" w14:textId="77777777" w:rsidR="00A87AB3" w:rsidRPr="00AD05CC" w:rsidRDefault="00A87AB3" w:rsidP="00256489">
                                  <w:pPr>
                                    <w:spacing w:after="0" w:line="240" w:lineRule="auto"/>
                                    <w:rPr>
                                      <w:rFonts w:eastAsia="Times New Roman" w:cs="Arial"/>
                                      <w:bCs/>
                                      <w:sz w:val="16"/>
                                      <w:lang w:eastAsia="en-GB"/>
                                    </w:rPr>
                                  </w:pPr>
                                  <w:r w:rsidRPr="00AD05CC">
                                    <w:rPr>
                                      <w:rFonts w:eastAsia="Times New Roman" w:cs="Arial"/>
                                      <w:bCs/>
                                      <w:sz w:val="16"/>
                                      <w:lang w:eastAsia="en-GB"/>
                                    </w:rPr>
                                    <w:t>Total grant amount available</w:t>
                                  </w:r>
                                </w:p>
                              </w:tc>
                              <w:tc>
                                <w:tcPr>
                                  <w:tcW w:w="2095" w:type="pct"/>
                                  <w:tcBorders>
                                    <w:top w:val="nil"/>
                                    <w:left w:val="nil"/>
                                    <w:bottom w:val="single" w:sz="4" w:space="0" w:color="auto"/>
                                    <w:right w:val="single" w:sz="4" w:space="0" w:color="auto"/>
                                  </w:tcBorders>
                                  <w:shd w:val="clear" w:color="auto" w:fill="auto"/>
                                  <w:noWrap/>
                                  <w:vAlign w:val="center"/>
                                  <w:hideMark/>
                                </w:tcPr>
                                <w:p w14:paraId="5EA89594" w14:textId="08669F13" w:rsidR="00A87AB3" w:rsidRPr="00AD05CC" w:rsidRDefault="00A87AB3" w:rsidP="007A1507">
                                  <w:pPr>
                                    <w:spacing w:after="0" w:line="240" w:lineRule="auto"/>
                                    <w:jc w:val="right"/>
                                    <w:rPr>
                                      <w:rFonts w:eastAsia="Times New Roman" w:cs="Arial"/>
                                      <w:sz w:val="16"/>
                                      <w:lang w:eastAsia="en-GB"/>
                                    </w:rPr>
                                  </w:pP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1</w:t>
                                  </w:r>
                                  <w:r>
                                    <w:rPr>
                                      <w:rFonts w:eastAsia="Times New Roman" w:cs="Arial"/>
                                      <w:sz w:val="16"/>
                                      <w:lang w:eastAsia="en-GB"/>
                                    </w:rPr>
                                    <w:t>,105,</w:t>
                                  </w:r>
                                  <w:r w:rsidRPr="00AD05CC">
                                    <w:rPr>
                                      <w:rFonts w:eastAsia="Times New Roman" w:cs="Arial"/>
                                      <w:sz w:val="16"/>
                                      <w:lang w:eastAsia="en-GB"/>
                                    </w:rPr>
                                    <w:t xml:space="preserve">000 </w:t>
                                  </w:r>
                                </w:p>
                              </w:tc>
                              <w:tc>
                                <w:tcPr>
                                  <w:tcW w:w="581" w:type="pct"/>
                                  <w:tcBorders>
                                    <w:top w:val="nil"/>
                                    <w:left w:val="nil"/>
                                    <w:bottom w:val="nil"/>
                                    <w:right w:val="nil"/>
                                  </w:tcBorders>
                                  <w:shd w:val="clear" w:color="auto" w:fill="auto"/>
                                  <w:noWrap/>
                                  <w:vAlign w:val="bottom"/>
                                  <w:hideMark/>
                                </w:tcPr>
                                <w:p w14:paraId="047F4981" w14:textId="77777777" w:rsidR="00A87AB3" w:rsidRPr="00AD05CC" w:rsidRDefault="00A87AB3" w:rsidP="00256489">
                                  <w:pPr>
                                    <w:spacing w:after="0" w:line="240" w:lineRule="auto"/>
                                    <w:jc w:val="right"/>
                                    <w:rPr>
                                      <w:rFonts w:eastAsia="Times New Roman" w:cs="Arial"/>
                                      <w:sz w:val="16"/>
                                      <w:lang w:eastAsia="en-GB"/>
                                    </w:rPr>
                                  </w:pPr>
                                </w:p>
                              </w:tc>
                              <w:tc>
                                <w:tcPr>
                                  <w:tcW w:w="581" w:type="pct"/>
                                  <w:tcBorders>
                                    <w:top w:val="nil"/>
                                    <w:left w:val="nil"/>
                                    <w:bottom w:val="nil"/>
                                    <w:right w:val="nil"/>
                                  </w:tcBorders>
                                  <w:shd w:val="clear" w:color="auto" w:fill="auto"/>
                                  <w:noWrap/>
                                  <w:vAlign w:val="bottom"/>
                                  <w:hideMark/>
                                </w:tcPr>
                                <w:p w14:paraId="22337B35" w14:textId="77777777" w:rsidR="00A87AB3" w:rsidRPr="00AD05CC" w:rsidRDefault="00A87AB3" w:rsidP="00256489">
                                  <w:pPr>
                                    <w:spacing w:after="0" w:line="240" w:lineRule="auto"/>
                                    <w:rPr>
                                      <w:rFonts w:eastAsia="Times New Roman" w:cs="Times New Roman"/>
                                      <w:sz w:val="16"/>
                                      <w:lang w:eastAsia="en-GB"/>
                                    </w:rPr>
                                  </w:pPr>
                                </w:p>
                              </w:tc>
                            </w:tr>
                            <w:tr w:rsidR="00A87AB3" w:rsidRPr="00AD05CC" w14:paraId="4E47E05D" w14:textId="77777777" w:rsidTr="00E9282E">
                              <w:trPr>
                                <w:trHeight w:val="189"/>
                              </w:trPr>
                              <w:tc>
                                <w:tcPr>
                                  <w:tcW w:w="174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00A7A5" w14:textId="77777777" w:rsidR="00A87AB3" w:rsidRPr="00AD05CC" w:rsidRDefault="00A87AB3" w:rsidP="00256489">
                                  <w:pPr>
                                    <w:spacing w:after="0" w:line="240" w:lineRule="auto"/>
                                    <w:rPr>
                                      <w:rFonts w:eastAsia="Times New Roman" w:cs="Arial"/>
                                      <w:bCs/>
                                      <w:sz w:val="16"/>
                                      <w:lang w:eastAsia="en-GB"/>
                                    </w:rPr>
                                  </w:pPr>
                                  <w:r w:rsidRPr="00AD05CC">
                                    <w:rPr>
                                      <w:rFonts w:eastAsia="Times New Roman" w:cs="Arial"/>
                                      <w:bCs/>
                                      <w:sz w:val="16"/>
                                      <w:lang w:eastAsia="en-GB"/>
                                    </w:rPr>
                                    <w:t>Awarded grant rate in %</w:t>
                                  </w:r>
                                </w:p>
                              </w:tc>
                              <w:tc>
                                <w:tcPr>
                                  <w:tcW w:w="2095" w:type="pct"/>
                                  <w:tcBorders>
                                    <w:top w:val="nil"/>
                                    <w:left w:val="nil"/>
                                    <w:bottom w:val="single" w:sz="4" w:space="0" w:color="auto"/>
                                    <w:right w:val="single" w:sz="4" w:space="0" w:color="auto"/>
                                  </w:tcBorders>
                                  <w:shd w:val="clear" w:color="auto" w:fill="auto"/>
                                  <w:noWrap/>
                                  <w:vAlign w:val="center"/>
                                  <w:hideMark/>
                                </w:tcPr>
                                <w:p w14:paraId="3C2C253B" w14:textId="77777777" w:rsidR="00A87AB3" w:rsidRPr="00AD05CC" w:rsidRDefault="00A87AB3" w:rsidP="00256489">
                                  <w:pPr>
                                    <w:spacing w:after="0" w:line="240" w:lineRule="auto"/>
                                    <w:jc w:val="right"/>
                                    <w:rPr>
                                      <w:rFonts w:eastAsia="Times New Roman" w:cs="Arial"/>
                                      <w:sz w:val="16"/>
                                      <w:lang w:eastAsia="en-GB"/>
                                    </w:rPr>
                                  </w:pPr>
                                  <w:r w:rsidRPr="00AD05CC">
                                    <w:rPr>
                                      <w:rFonts w:eastAsia="Times New Roman" w:cs="Arial"/>
                                      <w:sz w:val="16"/>
                                      <w:lang w:eastAsia="en-GB"/>
                                    </w:rPr>
                                    <w:t>85%</w:t>
                                  </w:r>
                                </w:p>
                              </w:tc>
                              <w:tc>
                                <w:tcPr>
                                  <w:tcW w:w="581" w:type="pct"/>
                                  <w:tcBorders>
                                    <w:top w:val="nil"/>
                                    <w:left w:val="nil"/>
                                    <w:bottom w:val="nil"/>
                                    <w:right w:val="nil"/>
                                  </w:tcBorders>
                                  <w:shd w:val="clear" w:color="auto" w:fill="auto"/>
                                  <w:noWrap/>
                                  <w:vAlign w:val="bottom"/>
                                  <w:hideMark/>
                                </w:tcPr>
                                <w:p w14:paraId="049D1C6F" w14:textId="77777777" w:rsidR="00A87AB3" w:rsidRPr="00AD05CC" w:rsidRDefault="00A87AB3" w:rsidP="00256489">
                                  <w:pPr>
                                    <w:spacing w:after="0" w:line="240" w:lineRule="auto"/>
                                    <w:jc w:val="right"/>
                                    <w:rPr>
                                      <w:rFonts w:eastAsia="Times New Roman" w:cs="Arial"/>
                                      <w:sz w:val="16"/>
                                      <w:lang w:eastAsia="en-GB"/>
                                    </w:rPr>
                                  </w:pPr>
                                </w:p>
                              </w:tc>
                              <w:tc>
                                <w:tcPr>
                                  <w:tcW w:w="581" w:type="pct"/>
                                  <w:tcBorders>
                                    <w:top w:val="nil"/>
                                    <w:left w:val="nil"/>
                                    <w:bottom w:val="nil"/>
                                    <w:right w:val="nil"/>
                                  </w:tcBorders>
                                  <w:shd w:val="clear" w:color="auto" w:fill="auto"/>
                                  <w:noWrap/>
                                  <w:vAlign w:val="bottom"/>
                                  <w:hideMark/>
                                </w:tcPr>
                                <w:p w14:paraId="1A587331" w14:textId="77777777" w:rsidR="00A87AB3" w:rsidRPr="00AD05CC" w:rsidRDefault="00A87AB3" w:rsidP="00256489">
                                  <w:pPr>
                                    <w:spacing w:after="0" w:line="240" w:lineRule="auto"/>
                                    <w:rPr>
                                      <w:rFonts w:eastAsia="Times New Roman" w:cs="Times New Roman"/>
                                      <w:sz w:val="16"/>
                                      <w:lang w:eastAsia="en-GB"/>
                                    </w:rPr>
                                  </w:pPr>
                                </w:p>
                              </w:tc>
                            </w:tr>
                            <w:tr w:rsidR="00A87AB3" w:rsidRPr="00AD05CC" w14:paraId="11BB53C7" w14:textId="77777777" w:rsidTr="00256489">
                              <w:trPr>
                                <w:trHeight w:val="189"/>
                              </w:trPr>
                              <w:tc>
                                <w:tcPr>
                                  <w:tcW w:w="581" w:type="pct"/>
                                  <w:tcBorders>
                                    <w:top w:val="nil"/>
                                    <w:left w:val="nil"/>
                                    <w:bottom w:val="nil"/>
                                    <w:right w:val="nil"/>
                                  </w:tcBorders>
                                  <w:shd w:val="clear" w:color="auto" w:fill="auto"/>
                                  <w:noWrap/>
                                  <w:vAlign w:val="center"/>
                                  <w:hideMark/>
                                </w:tcPr>
                                <w:p w14:paraId="36772727" w14:textId="77777777" w:rsidR="00A87AB3" w:rsidRPr="00AD05CC" w:rsidRDefault="00A87AB3" w:rsidP="00256489">
                                  <w:pPr>
                                    <w:spacing w:after="0" w:line="240" w:lineRule="auto"/>
                                    <w:rPr>
                                      <w:rFonts w:eastAsia="Times New Roman" w:cs="Times New Roman"/>
                                      <w:sz w:val="16"/>
                                      <w:lang w:eastAsia="en-GB"/>
                                    </w:rPr>
                                  </w:pPr>
                                </w:p>
                              </w:tc>
                              <w:tc>
                                <w:tcPr>
                                  <w:tcW w:w="581" w:type="pct"/>
                                  <w:tcBorders>
                                    <w:top w:val="nil"/>
                                    <w:left w:val="nil"/>
                                    <w:bottom w:val="nil"/>
                                    <w:right w:val="nil"/>
                                  </w:tcBorders>
                                  <w:shd w:val="clear" w:color="auto" w:fill="auto"/>
                                  <w:noWrap/>
                                  <w:vAlign w:val="bottom"/>
                                  <w:hideMark/>
                                </w:tcPr>
                                <w:p w14:paraId="1425D511" w14:textId="77777777" w:rsidR="00A87AB3" w:rsidRPr="00AD05CC" w:rsidRDefault="00A87AB3" w:rsidP="00256489">
                                  <w:pPr>
                                    <w:spacing w:after="0" w:line="240" w:lineRule="auto"/>
                                    <w:ind w:firstLineChars="100" w:firstLine="160"/>
                                    <w:jc w:val="right"/>
                                    <w:rPr>
                                      <w:rFonts w:eastAsia="Times New Roman" w:cs="Times New Roman"/>
                                      <w:sz w:val="16"/>
                                      <w:lang w:eastAsia="en-GB"/>
                                    </w:rPr>
                                  </w:pPr>
                                </w:p>
                              </w:tc>
                              <w:tc>
                                <w:tcPr>
                                  <w:tcW w:w="581" w:type="pct"/>
                                  <w:tcBorders>
                                    <w:top w:val="nil"/>
                                    <w:left w:val="nil"/>
                                    <w:bottom w:val="nil"/>
                                    <w:right w:val="nil"/>
                                  </w:tcBorders>
                                  <w:shd w:val="clear" w:color="auto" w:fill="auto"/>
                                  <w:noWrap/>
                                  <w:vAlign w:val="bottom"/>
                                  <w:hideMark/>
                                </w:tcPr>
                                <w:p w14:paraId="0A6BB51C" w14:textId="77777777" w:rsidR="00A87AB3" w:rsidRPr="00AD05CC" w:rsidRDefault="00A87AB3" w:rsidP="00256489">
                                  <w:pPr>
                                    <w:spacing w:after="0" w:line="240" w:lineRule="auto"/>
                                    <w:rPr>
                                      <w:rFonts w:eastAsia="Times New Roman" w:cs="Times New Roman"/>
                                      <w:sz w:val="16"/>
                                      <w:lang w:eastAsia="en-GB"/>
                                    </w:rPr>
                                  </w:pPr>
                                </w:p>
                              </w:tc>
                              <w:tc>
                                <w:tcPr>
                                  <w:tcW w:w="2095" w:type="pct"/>
                                  <w:tcBorders>
                                    <w:top w:val="nil"/>
                                    <w:left w:val="nil"/>
                                    <w:bottom w:val="nil"/>
                                    <w:right w:val="nil"/>
                                  </w:tcBorders>
                                  <w:shd w:val="clear" w:color="auto" w:fill="auto"/>
                                  <w:noWrap/>
                                  <w:vAlign w:val="bottom"/>
                                  <w:hideMark/>
                                </w:tcPr>
                                <w:p w14:paraId="610FB508" w14:textId="77777777" w:rsidR="00A87AB3" w:rsidRPr="00AD05CC" w:rsidRDefault="00A87AB3" w:rsidP="00256489">
                                  <w:pPr>
                                    <w:spacing w:after="0" w:line="240" w:lineRule="auto"/>
                                    <w:rPr>
                                      <w:rFonts w:eastAsia="Times New Roman" w:cs="Times New Roman"/>
                                      <w:sz w:val="16"/>
                                      <w:lang w:eastAsia="en-GB"/>
                                    </w:rPr>
                                  </w:pPr>
                                </w:p>
                              </w:tc>
                              <w:tc>
                                <w:tcPr>
                                  <w:tcW w:w="581" w:type="pct"/>
                                  <w:tcBorders>
                                    <w:top w:val="nil"/>
                                    <w:left w:val="nil"/>
                                    <w:bottom w:val="nil"/>
                                    <w:right w:val="nil"/>
                                  </w:tcBorders>
                                  <w:shd w:val="clear" w:color="auto" w:fill="auto"/>
                                  <w:noWrap/>
                                  <w:vAlign w:val="bottom"/>
                                  <w:hideMark/>
                                </w:tcPr>
                                <w:p w14:paraId="32A0E726" w14:textId="77777777" w:rsidR="00A87AB3" w:rsidRPr="00AD05CC" w:rsidRDefault="00A87AB3" w:rsidP="00256489">
                                  <w:pPr>
                                    <w:spacing w:after="0" w:line="240" w:lineRule="auto"/>
                                    <w:rPr>
                                      <w:rFonts w:eastAsia="Times New Roman" w:cs="Times New Roman"/>
                                      <w:sz w:val="16"/>
                                      <w:lang w:eastAsia="en-GB"/>
                                    </w:rPr>
                                  </w:pPr>
                                </w:p>
                              </w:tc>
                              <w:tc>
                                <w:tcPr>
                                  <w:tcW w:w="581" w:type="pct"/>
                                  <w:tcBorders>
                                    <w:top w:val="nil"/>
                                    <w:left w:val="nil"/>
                                    <w:bottom w:val="nil"/>
                                    <w:right w:val="nil"/>
                                  </w:tcBorders>
                                  <w:shd w:val="clear" w:color="auto" w:fill="auto"/>
                                  <w:noWrap/>
                                  <w:vAlign w:val="bottom"/>
                                  <w:hideMark/>
                                </w:tcPr>
                                <w:p w14:paraId="61D05E37" w14:textId="77777777" w:rsidR="00A87AB3" w:rsidRPr="00AD05CC" w:rsidRDefault="00A87AB3" w:rsidP="00256489">
                                  <w:pPr>
                                    <w:spacing w:after="0" w:line="240" w:lineRule="auto"/>
                                    <w:rPr>
                                      <w:rFonts w:eastAsia="Times New Roman" w:cs="Times New Roman"/>
                                      <w:sz w:val="16"/>
                                      <w:lang w:eastAsia="en-GB"/>
                                    </w:rPr>
                                  </w:pPr>
                                </w:p>
                              </w:tc>
                            </w:tr>
                            <w:tr w:rsidR="00A87AB3" w:rsidRPr="00AD05CC" w14:paraId="6EC152B8" w14:textId="77777777" w:rsidTr="00E9282E">
                              <w:trPr>
                                <w:trHeight w:val="18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89AD11" w14:textId="77777777" w:rsidR="00A87AB3" w:rsidRPr="00AD05CC" w:rsidRDefault="00A87AB3" w:rsidP="00256489">
                                  <w:pPr>
                                    <w:spacing w:after="0" w:line="240" w:lineRule="auto"/>
                                    <w:rPr>
                                      <w:rFonts w:eastAsia="Times New Roman" w:cs="Arial"/>
                                      <w:bCs/>
                                      <w:sz w:val="16"/>
                                      <w:lang w:eastAsia="en-GB"/>
                                    </w:rPr>
                                  </w:pPr>
                                  <w:r w:rsidRPr="00AD05CC">
                                    <w:rPr>
                                      <w:rFonts w:eastAsia="Times New Roman" w:cs="Arial"/>
                                      <w:bCs/>
                                      <w:sz w:val="16"/>
                                      <w:lang w:eastAsia="en-GB"/>
                                    </w:rPr>
                                    <w:t>Total eligible expenditure</w:t>
                                  </w:r>
                                </w:p>
                              </w:tc>
                            </w:tr>
                            <w:tr w:rsidR="00A87AB3" w:rsidRPr="00AD05CC" w14:paraId="7CE3DBE0" w14:textId="77777777" w:rsidTr="00256489">
                              <w:trPr>
                                <w:trHeight w:val="379"/>
                              </w:trPr>
                              <w:tc>
                                <w:tcPr>
                                  <w:tcW w:w="383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8F4C1E" w14:textId="77777777" w:rsidR="00A87AB3" w:rsidRPr="00AD05CC" w:rsidRDefault="00A87AB3" w:rsidP="00256489">
                                  <w:pPr>
                                    <w:spacing w:after="0" w:line="240" w:lineRule="auto"/>
                                    <w:jc w:val="right"/>
                                    <w:rPr>
                                      <w:rFonts w:eastAsia="Times New Roman" w:cs="Arial"/>
                                      <w:bCs/>
                                      <w:sz w:val="16"/>
                                      <w:lang w:eastAsia="en-GB"/>
                                    </w:rPr>
                                  </w:pPr>
                                  <w:r w:rsidRPr="00AD05CC">
                                    <w:rPr>
                                      <w:rFonts w:eastAsia="Times New Roman" w:cs="Arial"/>
                                      <w:bCs/>
                                      <w:sz w:val="16"/>
                                      <w:lang w:eastAsia="en-GB"/>
                                    </w:rPr>
                                    <w:t>Total reported eligible expenditure of the programme</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967C455" w14:textId="63F153B9" w:rsidR="00A87AB3" w:rsidRPr="00AD05CC" w:rsidRDefault="00A87AB3" w:rsidP="007A1507">
                                  <w:pPr>
                                    <w:spacing w:after="0" w:line="240" w:lineRule="auto"/>
                                    <w:jc w:val="right"/>
                                    <w:rPr>
                                      <w:rFonts w:eastAsia="Times New Roman" w:cs="Arial"/>
                                      <w:sz w:val="16"/>
                                      <w:lang w:eastAsia="en-GB"/>
                                    </w:rPr>
                                  </w:pPr>
                                  <w:r>
                                    <w:rPr>
                                      <w:rFonts w:eastAsia="Times New Roman" w:cs="Arial"/>
                                      <w:sz w:val="16"/>
                                      <w:lang w:eastAsia="en-GB"/>
                                    </w:rPr>
                                    <w:t xml:space="preserve">    </w:t>
                                  </w: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1</w:t>
                                  </w:r>
                                  <w:r>
                                    <w:rPr>
                                      <w:rFonts w:eastAsia="Times New Roman" w:cs="Arial"/>
                                      <w:sz w:val="16"/>
                                      <w:lang w:eastAsia="en-GB"/>
                                    </w:rPr>
                                    <w:t>,</w:t>
                                  </w:r>
                                  <w:r w:rsidRPr="00AD05CC">
                                    <w:rPr>
                                      <w:rFonts w:eastAsia="Times New Roman" w:cs="Arial"/>
                                      <w:sz w:val="16"/>
                                      <w:lang w:eastAsia="en-GB"/>
                                    </w:rPr>
                                    <w:t>200</w:t>
                                  </w:r>
                                  <w:r>
                                    <w:rPr>
                                      <w:rFonts w:eastAsia="Times New Roman" w:cs="Arial"/>
                                      <w:sz w:val="16"/>
                                      <w:lang w:eastAsia="en-GB"/>
                                    </w:rPr>
                                    <w:t>,</w:t>
                                  </w:r>
                                  <w:r w:rsidRPr="00AD05CC">
                                    <w:rPr>
                                      <w:rFonts w:eastAsia="Times New Roman" w:cs="Arial"/>
                                      <w:sz w:val="16"/>
                                      <w:lang w:eastAsia="en-GB"/>
                                    </w:rPr>
                                    <w:t xml:space="preserve">000 </w:t>
                                  </w:r>
                                </w:p>
                              </w:tc>
                            </w:tr>
                            <w:tr w:rsidR="00A87AB3" w:rsidRPr="00AD05CC" w14:paraId="0D9D4862" w14:textId="77777777" w:rsidTr="00E9282E">
                              <w:trPr>
                                <w:trHeight w:val="18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7708E6" w14:textId="77777777" w:rsidR="00A87AB3" w:rsidRPr="00AD05CC" w:rsidRDefault="00A87AB3" w:rsidP="00256489">
                                  <w:pPr>
                                    <w:spacing w:after="0" w:line="240" w:lineRule="auto"/>
                                    <w:rPr>
                                      <w:rFonts w:eastAsia="Times New Roman" w:cs="Arial"/>
                                      <w:bCs/>
                                      <w:sz w:val="16"/>
                                      <w:lang w:eastAsia="en-GB"/>
                                    </w:rPr>
                                  </w:pPr>
                                  <w:r w:rsidRPr="00AD05CC">
                                    <w:rPr>
                                      <w:rFonts w:eastAsia="Times New Roman" w:cs="Arial"/>
                                      <w:bCs/>
                                      <w:sz w:val="16"/>
                                      <w:lang w:eastAsia="en-GB"/>
                                    </w:rPr>
                                    <w:t>Less:</w:t>
                                  </w:r>
                                </w:p>
                              </w:tc>
                            </w:tr>
                            <w:tr w:rsidR="00A87AB3" w:rsidRPr="00AD05CC" w14:paraId="0CF3EB21" w14:textId="77777777" w:rsidTr="00256489">
                              <w:trPr>
                                <w:trHeight w:val="379"/>
                              </w:trPr>
                              <w:tc>
                                <w:tcPr>
                                  <w:tcW w:w="3838"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5EE8F7F" w14:textId="77777777" w:rsidR="00A87AB3" w:rsidRPr="00AD05CC" w:rsidRDefault="00A87AB3" w:rsidP="00256489">
                                  <w:pPr>
                                    <w:spacing w:after="0" w:line="240" w:lineRule="auto"/>
                                    <w:jc w:val="right"/>
                                    <w:rPr>
                                      <w:rFonts w:eastAsia="Times New Roman" w:cs="Arial"/>
                                      <w:bCs/>
                                      <w:sz w:val="16"/>
                                      <w:lang w:eastAsia="en-GB"/>
                                    </w:rPr>
                                  </w:pPr>
                                  <w:r w:rsidRPr="00AD05CC">
                                    <w:rPr>
                                      <w:rFonts w:eastAsia="Times New Roman" w:cs="Arial"/>
                                      <w:bCs/>
                                      <w:sz w:val="16"/>
                                      <w:lang w:eastAsia="en-GB"/>
                                    </w:rPr>
                                    <w:t>Total advance and interim payments to the programme from the FMO</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C03E850" w14:textId="3C25C669" w:rsidR="00A87AB3" w:rsidRPr="00AD05CC" w:rsidRDefault="00A87AB3" w:rsidP="007A1507">
                                  <w:pPr>
                                    <w:spacing w:after="0" w:line="240" w:lineRule="auto"/>
                                    <w:jc w:val="right"/>
                                    <w:rPr>
                                      <w:rFonts w:eastAsia="Times New Roman" w:cs="Arial"/>
                                      <w:sz w:val="16"/>
                                      <w:lang w:eastAsia="en-GB"/>
                                    </w:rPr>
                                  </w:pP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850</w:t>
                                  </w:r>
                                  <w:r>
                                    <w:rPr>
                                      <w:rFonts w:eastAsia="Times New Roman" w:cs="Arial"/>
                                      <w:sz w:val="16"/>
                                      <w:lang w:eastAsia="en-GB"/>
                                    </w:rPr>
                                    <w:t>,</w:t>
                                  </w:r>
                                  <w:r w:rsidRPr="00AD05CC">
                                    <w:rPr>
                                      <w:rFonts w:eastAsia="Times New Roman" w:cs="Arial"/>
                                      <w:sz w:val="16"/>
                                      <w:lang w:eastAsia="en-GB"/>
                                    </w:rPr>
                                    <w:t xml:space="preserve">000 </w:t>
                                  </w:r>
                                </w:p>
                              </w:tc>
                            </w:tr>
                            <w:tr w:rsidR="00A87AB3" w:rsidRPr="00AD05CC" w14:paraId="347ED200" w14:textId="77777777" w:rsidTr="00256489">
                              <w:trPr>
                                <w:trHeight w:val="379"/>
                              </w:trPr>
                              <w:tc>
                                <w:tcPr>
                                  <w:tcW w:w="383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900EF5" w14:textId="77777777" w:rsidR="00A87AB3" w:rsidRPr="00AD05CC" w:rsidRDefault="00A87AB3" w:rsidP="00256489">
                                  <w:pPr>
                                    <w:spacing w:after="0" w:line="240" w:lineRule="auto"/>
                                    <w:jc w:val="right"/>
                                    <w:rPr>
                                      <w:rFonts w:eastAsia="Times New Roman" w:cs="Arial"/>
                                      <w:bCs/>
                                      <w:sz w:val="16"/>
                                      <w:lang w:eastAsia="en-GB"/>
                                    </w:rPr>
                                  </w:pPr>
                                  <w:r w:rsidRPr="00AD05CC">
                                    <w:rPr>
                                      <w:rFonts w:eastAsia="Times New Roman" w:cs="Arial"/>
                                      <w:bCs/>
                                      <w:sz w:val="16"/>
                                      <w:lang w:eastAsia="en-GB"/>
                                    </w:rPr>
                                    <w:t>Any co-financing from sources other than the FMO</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59A88CC" w14:textId="10397AB2" w:rsidR="00A87AB3" w:rsidRPr="00AD05CC" w:rsidRDefault="00A87AB3" w:rsidP="007A1507">
                                  <w:pPr>
                                    <w:spacing w:after="0" w:line="240" w:lineRule="auto"/>
                                    <w:jc w:val="right"/>
                                    <w:rPr>
                                      <w:rFonts w:eastAsia="Times New Roman" w:cs="Arial"/>
                                      <w:sz w:val="16"/>
                                      <w:lang w:eastAsia="en-GB"/>
                                    </w:rPr>
                                  </w:pPr>
                                  <w:r>
                                    <w:rPr>
                                      <w:rFonts w:eastAsia="Times New Roman" w:cs="Arial"/>
                                      <w:sz w:val="16"/>
                                      <w:lang w:eastAsia="en-GB"/>
                                    </w:rPr>
                                    <w:t xml:space="preserve"> € </w:t>
                                  </w:r>
                                  <w:r w:rsidRPr="00AD05CC">
                                    <w:rPr>
                                      <w:rFonts w:eastAsia="Times New Roman" w:cs="Arial"/>
                                      <w:sz w:val="16"/>
                                      <w:lang w:eastAsia="en-GB"/>
                                    </w:rPr>
                                    <w:t>150</w:t>
                                  </w:r>
                                  <w:r>
                                    <w:rPr>
                                      <w:rFonts w:eastAsia="Times New Roman" w:cs="Arial"/>
                                      <w:sz w:val="16"/>
                                      <w:lang w:eastAsia="en-GB"/>
                                    </w:rPr>
                                    <w:t>,</w:t>
                                  </w:r>
                                  <w:r w:rsidRPr="00AD05CC">
                                    <w:rPr>
                                      <w:rFonts w:eastAsia="Times New Roman" w:cs="Arial"/>
                                      <w:sz w:val="16"/>
                                      <w:lang w:eastAsia="en-GB"/>
                                    </w:rPr>
                                    <w:t xml:space="preserve">000 </w:t>
                                  </w:r>
                                </w:p>
                              </w:tc>
                            </w:tr>
                            <w:tr w:rsidR="00A87AB3" w:rsidRPr="00AD05CC" w14:paraId="31C61214" w14:textId="77777777" w:rsidTr="00256489">
                              <w:trPr>
                                <w:trHeight w:val="379"/>
                              </w:trPr>
                              <w:tc>
                                <w:tcPr>
                                  <w:tcW w:w="383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4B2651" w14:textId="187AD8E5" w:rsidR="00A87AB3" w:rsidRPr="00AD05CC" w:rsidRDefault="00A87AB3" w:rsidP="007A1507">
                                  <w:pPr>
                                    <w:spacing w:after="0" w:line="240" w:lineRule="auto"/>
                                    <w:jc w:val="right"/>
                                    <w:rPr>
                                      <w:rFonts w:eastAsia="Times New Roman" w:cs="Arial"/>
                                      <w:bCs/>
                                      <w:sz w:val="16"/>
                                      <w:lang w:eastAsia="en-GB"/>
                                    </w:rPr>
                                  </w:pPr>
                                  <w:r w:rsidRPr="00AD05CC">
                                    <w:rPr>
                                      <w:rFonts w:eastAsia="Times New Roman" w:cs="Arial"/>
                                      <w:bCs/>
                                      <w:sz w:val="16"/>
                                      <w:lang w:eastAsia="en-GB"/>
                                    </w:rPr>
                                    <w:t>Total interes</w:t>
                                  </w:r>
                                  <w:r>
                                    <w:rPr>
                                      <w:rFonts w:eastAsia="Times New Roman" w:cs="Arial"/>
                                      <w:bCs/>
                                      <w:sz w:val="16"/>
                                      <w:lang w:eastAsia="en-GB"/>
                                    </w:rPr>
                                    <w:t>t earned until the date of the F</w:t>
                                  </w:r>
                                  <w:r w:rsidRPr="00AD05CC">
                                    <w:rPr>
                                      <w:rFonts w:eastAsia="Times New Roman" w:cs="Arial"/>
                                      <w:bCs/>
                                      <w:sz w:val="16"/>
                                      <w:lang w:eastAsia="en-GB"/>
                                    </w:rPr>
                                    <w:t xml:space="preserve">inal </w:t>
                                  </w:r>
                                  <w:r>
                                    <w:rPr>
                                      <w:rFonts w:eastAsia="Times New Roman" w:cs="Arial"/>
                                      <w:bCs/>
                                      <w:sz w:val="16"/>
                                      <w:lang w:eastAsia="en-GB"/>
                                    </w:rPr>
                                    <w:t>P</w:t>
                                  </w:r>
                                  <w:r w:rsidRPr="00AD05CC">
                                    <w:rPr>
                                      <w:rFonts w:eastAsia="Times New Roman" w:cs="Arial"/>
                                      <w:bCs/>
                                      <w:sz w:val="16"/>
                                      <w:lang w:eastAsia="en-GB"/>
                                    </w:rPr>
                                    <w:t>rogr</w:t>
                                  </w:r>
                                  <w:r>
                                    <w:rPr>
                                      <w:rFonts w:eastAsia="Times New Roman" w:cs="Arial"/>
                                      <w:bCs/>
                                      <w:sz w:val="16"/>
                                      <w:lang w:eastAsia="en-GB"/>
                                    </w:rPr>
                                    <w:t>amme R</w:t>
                                  </w:r>
                                  <w:r w:rsidRPr="00AD05CC">
                                    <w:rPr>
                                      <w:rFonts w:eastAsia="Times New Roman" w:cs="Arial"/>
                                      <w:bCs/>
                                      <w:sz w:val="16"/>
                                      <w:lang w:eastAsia="en-GB"/>
                                    </w:rPr>
                                    <w:t>eport but not reimbursed to the FMO</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E099C82" w14:textId="0824BC42" w:rsidR="00A87AB3" w:rsidRPr="00AD05CC" w:rsidRDefault="00A87AB3" w:rsidP="00256489">
                                  <w:pPr>
                                    <w:spacing w:after="0" w:line="240" w:lineRule="auto"/>
                                    <w:jc w:val="right"/>
                                    <w:rPr>
                                      <w:rFonts w:eastAsia="Times New Roman" w:cs="Arial"/>
                                      <w:sz w:val="16"/>
                                      <w:lang w:eastAsia="en-GB"/>
                                    </w:rPr>
                                  </w:pP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 xml:space="preserve">200 </w:t>
                                  </w:r>
                                </w:p>
                              </w:tc>
                            </w:tr>
                            <w:tr w:rsidR="00A87AB3" w:rsidRPr="00AD05CC" w14:paraId="4E5E11F8" w14:textId="77777777" w:rsidTr="00256489">
                              <w:trPr>
                                <w:trHeight w:val="455"/>
                              </w:trPr>
                              <w:tc>
                                <w:tcPr>
                                  <w:tcW w:w="383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B04BE1" w14:textId="77777777" w:rsidR="00A87AB3" w:rsidRPr="00AD05CC" w:rsidRDefault="00A87AB3" w:rsidP="00256489">
                                  <w:pPr>
                                    <w:spacing w:after="0" w:line="240" w:lineRule="auto"/>
                                    <w:jc w:val="right"/>
                                    <w:rPr>
                                      <w:rFonts w:eastAsia="Times New Roman" w:cs="Arial"/>
                                      <w:bCs/>
                                      <w:sz w:val="16"/>
                                      <w:lang w:eastAsia="en-GB"/>
                                    </w:rPr>
                                  </w:pPr>
                                  <w:r w:rsidRPr="00AD05CC">
                                    <w:rPr>
                                      <w:rFonts w:eastAsia="Times New Roman" w:cs="Arial"/>
                                      <w:bCs/>
                                      <w:sz w:val="16"/>
                                      <w:lang w:eastAsia="en-GB"/>
                                    </w:rPr>
                                    <w:t>Any funds reimbursed from PPs to the PO, not paid to other projects or reimbursed to the FMO.</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45BBC93" w14:textId="0456EF4C" w:rsidR="00A87AB3" w:rsidRPr="00AD05CC" w:rsidRDefault="00A87AB3" w:rsidP="00256489">
                                  <w:pPr>
                                    <w:spacing w:after="0" w:line="240" w:lineRule="auto"/>
                                    <w:jc w:val="right"/>
                                    <w:rPr>
                                      <w:rFonts w:eastAsia="Times New Roman" w:cs="Arial"/>
                                      <w:sz w:val="16"/>
                                      <w:lang w:eastAsia="en-GB"/>
                                    </w:rPr>
                                  </w:pPr>
                                  <w:r>
                                    <w:rPr>
                                      <w:rFonts w:eastAsia="Times New Roman" w:cs="Arial"/>
                                      <w:sz w:val="16"/>
                                      <w:lang w:eastAsia="en-GB"/>
                                    </w:rPr>
                                    <w:t xml:space="preserve"> </w:t>
                                  </w: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 xml:space="preserve">300 </w:t>
                                  </w:r>
                                </w:p>
                              </w:tc>
                            </w:tr>
                            <w:tr w:rsidR="00A87AB3" w:rsidRPr="00AD05CC" w14:paraId="1050485B" w14:textId="77777777" w:rsidTr="00E9282E">
                              <w:trPr>
                                <w:trHeight w:val="18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E42446" w14:textId="77777777" w:rsidR="00A87AB3" w:rsidRPr="00AD05CC" w:rsidRDefault="00A87AB3" w:rsidP="00256489">
                                  <w:pPr>
                                    <w:spacing w:after="0" w:line="240" w:lineRule="auto"/>
                                    <w:rPr>
                                      <w:rFonts w:eastAsia="Times New Roman" w:cs="Arial"/>
                                      <w:bCs/>
                                      <w:sz w:val="16"/>
                                      <w:lang w:eastAsia="en-GB"/>
                                    </w:rPr>
                                  </w:pPr>
                                  <w:r w:rsidRPr="00AD05CC">
                                    <w:rPr>
                                      <w:rFonts w:eastAsia="Times New Roman" w:cs="Arial"/>
                                      <w:bCs/>
                                      <w:sz w:val="16"/>
                                      <w:lang w:eastAsia="en-GB"/>
                                    </w:rPr>
                                    <w:t>Final balance</w:t>
                                  </w:r>
                                </w:p>
                              </w:tc>
                            </w:tr>
                            <w:tr w:rsidR="00A87AB3" w:rsidRPr="00AD05CC" w14:paraId="20823D89" w14:textId="77777777" w:rsidTr="00256489">
                              <w:trPr>
                                <w:trHeight w:val="189"/>
                              </w:trPr>
                              <w:tc>
                                <w:tcPr>
                                  <w:tcW w:w="383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48400" w14:textId="77777777" w:rsidR="00A87AB3" w:rsidRPr="00AD05CC" w:rsidRDefault="00A87AB3" w:rsidP="00256489">
                                  <w:pPr>
                                    <w:spacing w:after="0" w:line="240" w:lineRule="auto"/>
                                    <w:jc w:val="right"/>
                                    <w:rPr>
                                      <w:rFonts w:eastAsia="Times New Roman" w:cs="Arial"/>
                                      <w:bCs/>
                                      <w:sz w:val="16"/>
                                      <w:lang w:eastAsia="en-GB"/>
                                    </w:rPr>
                                  </w:pPr>
                                  <w:r w:rsidRPr="00AD05CC">
                                    <w:rPr>
                                      <w:rFonts w:eastAsia="Times New Roman" w:cs="Arial"/>
                                      <w:bCs/>
                                      <w:sz w:val="16"/>
                                      <w:lang w:eastAsia="en-GB"/>
                                    </w:rPr>
                                    <w:t>Total final balance</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978F601" w14:textId="1626D662" w:rsidR="00A87AB3" w:rsidRPr="00AD05CC" w:rsidRDefault="00A87AB3" w:rsidP="00256489">
                                  <w:pPr>
                                    <w:spacing w:after="0" w:line="240" w:lineRule="auto"/>
                                    <w:jc w:val="right"/>
                                    <w:rPr>
                                      <w:rFonts w:eastAsia="Times New Roman" w:cs="Arial"/>
                                      <w:sz w:val="16"/>
                                      <w:lang w:eastAsia="en-GB"/>
                                    </w:rPr>
                                  </w:pPr>
                                  <w:r>
                                    <w:rPr>
                                      <w:rFonts w:eastAsia="Times New Roman" w:cs="Arial"/>
                                      <w:sz w:val="16"/>
                                      <w:lang w:eastAsia="en-GB"/>
                                    </w:rPr>
                                    <w:t xml:space="preserve"> </w:t>
                                  </w:r>
                                  <w:r w:rsidRPr="00AD05CC">
                                    <w:rPr>
                                      <w:rFonts w:eastAsia="Times New Roman" w:cs="Arial"/>
                                      <w:sz w:val="16"/>
                                      <w:lang w:eastAsia="en-GB"/>
                                    </w:rPr>
                                    <w:t xml:space="preserve">               </w:t>
                                  </w:r>
                                  <w:r>
                                    <w:rPr>
                                      <w:rFonts w:eastAsia="Times New Roman" w:cs="Arial"/>
                                      <w:sz w:val="16"/>
                                      <w:lang w:eastAsia="en-GB"/>
                                    </w:rPr>
                                    <w:t>€ 199,</w:t>
                                  </w:r>
                                  <w:r w:rsidRPr="00AD05CC">
                                    <w:rPr>
                                      <w:rFonts w:eastAsia="Times New Roman" w:cs="Arial"/>
                                      <w:sz w:val="16"/>
                                      <w:lang w:eastAsia="en-GB"/>
                                    </w:rPr>
                                    <w:t xml:space="preserve">500 </w:t>
                                  </w:r>
                                </w:p>
                              </w:tc>
                            </w:tr>
                            <w:tr w:rsidR="00A87AB3" w:rsidRPr="00AD05CC" w14:paraId="49351A36" w14:textId="77777777" w:rsidTr="00256489">
                              <w:trPr>
                                <w:trHeight w:val="189"/>
                              </w:trPr>
                              <w:tc>
                                <w:tcPr>
                                  <w:tcW w:w="383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F7AF3" w14:textId="77777777" w:rsidR="00A87AB3" w:rsidRPr="00AD05CC" w:rsidRDefault="00A87AB3" w:rsidP="00256489">
                                  <w:pPr>
                                    <w:spacing w:after="0" w:line="240" w:lineRule="auto"/>
                                    <w:jc w:val="right"/>
                                    <w:rPr>
                                      <w:rFonts w:eastAsia="Times New Roman" w:cs="Arial"/>
                                      <w:bCs/>
                                      <w:sz w:val="16"/>
                                      <w:lang w:eastAsia="en-GB"/>
                                    </w:rPr>
                                  </w:pPr>
                                  <w:r w:rsidRPr="00AD05CC">
                                    <w:rPr>
                                      <w:rFonts w:eastAsia="Times New Roman" w:cs="Arial"/>
                                      <w:bCs/>
                                      <w:sz w:val="16"/>
                                      <w:lang w:eastAsia="en-GB"/>
                                    </w:rPr>
                                    <w:t>FMO’s share of the final balance (85%)</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89C8F60" w14:textId="6AFB21AD" w:rsidR="00A87AB3" w:rsidRPr="00AD05CC" w:rsidRDefault="00A87AB3" w:rsidP="007A1507">
                                  <w:pPr>
                                    <w:spacing w:after="0" w:line="240" w:lineRule="auto"/>
                                    <w:jc w:val="right"/>
                                    <w:rPr>
                                      <w:rFonts w:eastAsia="Times New Roman" w:cs="Arial"/>
                                      <w:sz w:val="16"/>
                                      <w:lang w:eastAsia="en-GB"/>
                                    </w:rPr>
                                  </w:pPr>
                                  <w:r>
                                    <w:rPr>
                                      <w:rFonts w:eastAsia="Times New Roman" w:cs="Arial"/>
                                      <w:sz w:val="16"/>
                                      <w:lang w:eastAsia="en-GB"/>
                                    </w:rPr>
                                    <w:t xml:space="preserve"> </w:t>
                                  </w: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169</w:t>
                                  </w:r>
                                  <w:r>
                                    <w:rPr>
                                      <w:rFonts w:eastAsia="Times New Roman" w:cs="Arial"/>
                                      <w:sz w:val="16"/>
                                      <w:lang w:eastAsia="en-GB"/>
                                    </w:rPr>
                                    <w:t>,</w:t>
                                  </w:r>
                                  <w:r w:rsidRPr="00AD05CC">
                                    <w:rPr>
                                      <w:rFonts w:eastAsia="Times New Roman" w:cs="Arial"/>
                                      <w:sz w:val="16"/>
                                      <w:lang w:eastAsia="en-GB"/>
                                    </w:rPr>
                                    <w:t xml:space="preserve">575 </w:t>
                                  </w:r>
                                </w:p>
                              </w:tc>
                            </w:tr>
                            <w:tr w:rsidR="00A87AB3" w:rsidRPr="00AD05CC" w14:paraId="48F3B3A3" w14:textId="77777777" w:rsidTr="00256489">
                              <w:trPr>
                                <w:trHeight w:val="189"/>
                              </w:trPr>
                              <w:tc>
                                <w:tcPr>
                                  <w:tcW w:w="581" w:type="pct"/>
                                  <w:tcBorders>
                                    <w:top w:val="nil"/>
                                    <w:left w:val="nil"/>
                                    <w:bottom w:val="nil"/>
                                    <w:right w:val="nil"/>
                                  </w:tcBorders>
                                  <w:shd w:val="clear" w:color="auto" w:fill="auto"/>
                                  <w:noWrap/>
                                  <w:vAlign w:val="center"/>
                                  <w:hideMark/>
                                </w:tcPr>
                                <w:p w14:paraId="153B5646" w14:textId="77777777" w:rsidR="00A87AB3" w:rsidRPr="00AD05CC" w:rsidRDefault="00A87AB3" w:rsidP="00256489">
                                  <w:pPr>
                                    <w:spacing w:after="0" w:line="240" w:lineRule="auto"/>
                                    <w:jc w:val="right"/>
                                    <w:rPr>
                                      <w:rFonts w:eastAsia="Times New Roman" w:cs="Arial"/>
                                      <w:sz w:val="16"/>
                                      <w:lang w:eastAsia="en-GB"/>
                                    </w:rPr>
                                  </w:pPr>
                                </w:p>
                              </w:tc>
                              <w:tc>
                                <w:tcPr>
                                  <w:tcW w:w="581" w:type="pct"/>
                                  <w:tcBorders>
                                    <w:top w:val="nil"/>
                                    <w:left w:val="nil"/>
                                    <w:bottom w:val="nil"/>
                                    <w:right w:val="nil"/>
                                  </w:tcBorders>
                                  <w:shd w:val="clear" w:color="auto" w:fill="auto"/>
                                  <w:noWrap/>
                                  <w:vAlign w:val="bottom"/>
                                  <w:hideMark/>
                                </w:tcPr>
                                <w:p w14:paraId="206967F0" w14:textId="77777777" w:rsidR="00A87AB3" w:rsidRPr="00AD05CC" w:rsidRDefault="00A87AB3" w:rsidP="00256489">
                                  <w:pPr>
                                    <w:spacing w:after="0" w:line="240" w:lineRule="auto"/>
                                    <w:ind w:firstLineChars="100" w:firstLine="160"/>
                                    <w:jc w:val="right"/>
                                    <w:rPr>
                                      <w:rFonts w:eastAsia="Times New Roman" w:cs="Times New Roman"/>
                                      <w:sz w:val="16"/>
                                      <w:lang w:eastAsia="en-GB"/>
                                    </w:rPr>
                                  </w:pPr>
                                </w:p>
                              </w:tc>
                              <w:tc>
                                <w:tcPr>
                                  <w:tcW w:w="581" w:type="pct"/>
                                  <w:tcBorders>
                                    <w:top w:val="nil"/>
                                    <w:left w:val="nil"/>
                                    <w:bottom w:val="nil"/>
                                    <w:right w:val="nil"/>
                                  </w:tcBorders>
                                  <w:shd w:val="clear" w:color="auto" w:fill="auto"/>
                                  <w:noWrap/>
                                  <w:vAlign w:val="bottom"/>
                                  <w:hideMark/>
                                </w:tcPr>
                                <w:p w14:paraId="06C537FC" w14:textId="77777777" w:rsidR="00A87AB3" w:rsidRPr="00AD05CC" w:rsidRDefault="00A87AB3" w:rsidP="00256489">
                                  <w:pPr>
                                    <w:spacing w:after="0" w:line="240" w:lineRule="auto"/>
                                    <w:rPr>
                                      <w:rFonts w:eastAsia="Times New Roman" w:cs="Times New Roman"/>
                                      <w:sz w:val="16"/>
                                      <w:lang w:eastAsia="en-GB"/>
                                    </w:rPr>
                                  </w:pPr>
                                </w:p>
                              </w:tc>
                              <w:tc>
                                <w:tcPr>
                                  <w:tcW w:w="2095" w:type="pct"/>
                                  <w:tcBorders>
                                    <w:top w:val="nil"/>
                                    <w:left w:val="nil"/>
                                    <w:bottom w:val="nil"/>
                                    <w:right w:val="nil"/>
                                  </w:tcBorders>
                                  <w:shd w:val="clear" w:color="auto" w:fill="auto"/>
                                  <w:noWrap/>
                                  <w:vAlign w:val="bottom"/>
                                  <w:hideMark/>
                                </w:tcPr>
                                <w:p w14:paraId="57017133" w14:textId="77777777" w:rsidR="00A87AB3" w:rsidRPr="00AD05CC" w:rsidRDefault="00A87AB3" w:rsidP="00256489">
                                  <w:pPr>
                                    <w:spacing w:after="0" w:line="240" w:lineRule="auto"/>
                                    <w:rPr>
                                      <w:rFonts w:eastAsia="Times New Roman" w:cs="Times New Roman"/>
                                      <w:sz w:val="16"/>
                                      <w:lang w:eastAsia="en-GB"/>
                                    </w:rPr>
                                  </w:pPr>
                                </w:p>
                              </w:tc>
                              <w:tc>
                                <w:tcPr>
                                  <w:tcW w:w="581" w:type="pct"/>
                                  <w:tcBorders>
                                    <w:top w:val="nil"/>
                                    <w:left w:val="nil"/>
                                    <w:bottom w:val="nil"/>
                                    <w:right w:val="nil"/>
                                  </w:tcBorders>
                                  <w:shd w:val="clear" w:color="auto" w:fill="auto"/>
                                  <w:noWrap/>
                                  <w:vAlign w:val="bottom"/>
                                  <w:hideMark/>
                                </w:tcPr>
                                <w:p w14:paraId="6D608346" w14:textId="77777777" w:rsidR="00A87AB3" w:rsidRPr="00AD05CC" w:rsidRDefault="00A87AB3" w:rsidP="00256489">
                                  <w:pPr>
                                    <w:spacing w:after="0" w:line="240" w:lineRule="auto"/>
                                    <w:rPr>
                                      <w:rFonts w:eastAsia="Times New Roman" w:cs="Times New Roman"/>
                                      <w:sz w:val="16"/>
                                      <w:lang w:eastAsia="en-GB"/>
                                    </w:rPr>
                                  </w:pPr>
                                </w:p>
                              </w:tc>
                              <w:tc>
                                <w:tcPr>
                                  <w:tcW w:w="581" w:type="pct"/>
                                  <w:tcBorders>
                                    <w:top w:val="nil"/>
                                    <w:left w:val="nil"/>
                                    <w:bottom w:val="nil"/>
                                    <w:right w:val="nil"/>
                                  </w:tcBorders>
                                  <w:shd w:val="clear" w:color="auto" w:fill="auto"/>
                                  <w:noWrap/>
                                  <w:vAlign w:val="bottom"/>
                                  <w:hideMark/>
                                </w:tcPr>
                                <w:p w14:paraId="2A98F4CA" w14:textId="77777777" w:rsidR="00A87AB3" w:rsidRPr="00AD05CC" w:rsidRDefault="00A87AB3" w:rsidP="00256489">
                                  <w:pPr>
                                    <w:spacing w:after="0" w:line="240" w:lineRule="auto"/>
                                    <w:rPr>
                                      <w:rFonts w:eastAsia="Times New Roman" w:cs="Times New Roman"/>
                                      <w:sz w:val="16"/>
                                      <w:lang w:eastAsia="en-GB"/>
                                    </w:rPr>
                                  </w:pPr>
                                </w:p>
                              </w:tc>
                            </w:tr>
                            <w:tr w:rsidR="00A87AB3" w:rsidRPr="00AD05CC" w14:paraId="196E698A" w14:textId="77777777" w:rsidTr="00256489">
                              <w:trPr>
                                <w:trHeight w:val="189"/>
                              </w:trPr>
                              <w:tc>
                                <w:tcPr>
                                  <w:tcW w:w="3838" w:type="pct"/>
                                  <w:gridSpan w:val="4"/>
                                  <w:tcBorders>
                                    <w:top w:val="nil"/>
                                    <w:left w:val="nil"/>
                                    <w:bottom w:val="nil"/>
                                    <w:right w:val="single" w:sz="4" w:space="0" w:color="000000"/>
                                  </w:tcBorders>
                                  <w:shd w:val="clear" w:color="auto" w:fill="auto"/>
                                  <w:noWrap/>
                                  <w:vAlign w:val="center"/>
                                  <w:hideMark/>
                                </w:tcPr>
                                <w:p w14:paraId="483F4E47" w14:textId="77777777" w:rsidR="00A87AB3" w:rsidRPr="00AD05CC" w:rsidRDefault="00A87AB3" w:rsidP="00284FB3">
                                  <w:pPr>
                                    <w:spacing w:after="0" w:line="240" w:lineRule="auto"/>
                                    <w:jc w:val="right"/>
                                    <w:rPr>
                                      <w:rFonts w:eastAsia="Times New Roman" w:cs="Arial"/>
                                      <w:bCs/>
                                      <w:sz w:val="16"/>
                                      <w:lang w:eastAsia="en-GB"/>
                                    </w:rPr>
                                  </w:pPr>
                                  <w:r w:rsidRPr="00AD05CC">
                                    <w:rPr>
                                      <w:rFonts w:eastAsia="Times New Roman" w:cs="Arial"/>
                                      <w:bCs/>
                                      <w:sz w:val="16"/>
                                      <w:lang w:eastAsia="en-GB"/>
                                    </w:rPr>
                                    <w:t>Final balance payable to the PO</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3FAAE05F" w14:textId="3F47CCE7" w:rsidR="00A87AB3" w:rsidRPr="00AD05CC" w:rsidRDefault="00A87AB3" w:rsidP="007A1507">
                                  <w:pPr>
                                    <w:spacing w:after="0" w:line="240" w:lineRule="auto"/>
                                    <w:jc w:val="right"/>
                                    <w:rPr>
                                      <w:rFonts w:eastAsia="Times New Roman" w:cs="Arial"/>
                                      <w:sz w:val="16"/>
                                      <w:lang w:eastAsia="en-GB"/>
                                    </w:rPr>
                                  </w:pPr>
                                  <w:r>
                                    <w:rPr>
                                      <w:rFonts w:eastAsia="Times New Roman" w:cs="Arial"/>
                                      <w:sz w:val="16"/>
                                      <w:lang w:eastAsia="en-GB"/>
                                    </w:rPr>
                                    <w:t xml:space="preserve"> </w:t>
                                  </w: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199</w:t>
                                  </w:r>
                                  <w:r>
                                    <w:rPr>
                                      <w:rFonts w:eastAsia="Times New Roman" w:cs="Arial"/>
                                      <w:sz w:val="16"/>
                                      <w:lang w:eastAsia="en-GB"/>
                                    </w:rPr>
                                    <w:t>,</w:t>
                                  </w:r>
                                  <w:r w:rsidRPr="00AD05CC">
                                    <w:rPr>
                                      <w:rFonts w:eastAsia="Times New Roman" w:cs="Arial"/>
                                      <w:sz w:val="16"/>
                                      <w:lang w:eastAsia="en-GB"/>
                                    </w:rPr>
                                    <w:t xml:space="preserve">500 </w:t>
                                  </w:r>
                                </w:p>
                              </w:tc>
                            </w:tr>
                            <w:tr w:rsidR="00A87AB3" w:rsidRPr="00AD05CC" w14:paraId="7A0D2716" w14:textId="77777777" w:rsidTr="00256489">
                              <w:trPr>
                                <w:trHeight w:val="189"/>
                              </w:trPr>
                              <w:tc>
                                <w:tcPr>
                                  <w:tcW w:w="581" w:type="pct"/>
                                  <w:tcBorders>
                                    <w:top w:val="nil"/>
                                    <w:left w:val="nil"/>
                                    <w:bottom w:val="nil"/>
                                    <w:right w:val="nil"/>
                                  </w:tcBorders>
                                  <w:shd w:val="clear" w:color="auto" w:fill="auto"/>
                                  <w:vAlign w:val="center"/>
                                  <w:hideMark/>
                                </w:tcPr>
                                <w:p w14:paraId="3BD3A27C" w14:textId="77777777" w:rsidR="00A87AB3" w:rsidRPr="00AD05CC" w:rsidRDefault="00A87AB3" w:rsidP="00256489">
                                  <w:pPr>
                                    <w:spacing w:after="0" w:line="240" w:lineRule="auto"/>
                                    <w:jc w:val="right"/>
                                    <w:rPr>
                                      <w:rFonts w:eastAsia="Times New Roman" w:cs="Arial"/>
                                      <w:sz w:val="16"/>
                                      <w:lang w:eastAsia="en-GB"/>
                                    </w:rPr>
                                  </w:pPr>
                                </w:p>
                              </w:tc>
                              <w:tc>
                                <w:tcPr>
                                  <w:tcW w:w="581" w:type="pct"/>
                                  <w:tcBorders>
                                    <w:top w:val="nil"/>
                                    <w:left w:val="nil"/>
                                    <w:bottom w:val="nil"/>
                                    <w:right w:val="nil"/>
                                  </w:tcBorders>
                                  <w:shd w:val="clear" w:color="auto" w:fill="auto"/>
                                  <w:vAlign w:val="center"/>
                                  <w:hideMark/>
                                </w:tcPr>
                                <w:p w14:paraId="410D303C" w14:textId="77777777" w:rsidR="00A87AB3" w:rsidRPr="00AD05CC" w:rsidRDefault="00A87AB3" w:rsidP="00256489">
                                  <w:pPr>
                                    <w:spacing w:after="0" w:line="240" w:lineRule="auto"/>
                                    <w:jc w:val="right"/>
                                    <w:rPr>
                                      <w:rFonts w:eastAsia="Times New Roman" w:cs="Times New Roman"/>
                                      <w:sz w:val="16"/>
                                      <w:lang w:eastAsia="en-GB"/>
                                    </w:rPr>
                                  </w:pPr>
                                </w:p>
                              </w:tc>
                              <w:tc>
                                <w:tcPr>
                                  <w:tcW w:w="581" w:type="pct"/>
                                  <w:tcBorders>
                                    <w:top w:val="nil"/>
                                    <w:left w:val="nil"/>
                                    <w:bottom w:val="nil"/>
                                    <w:right w:val="nil"/>
                                  </w:tcBorders>
                                  <w:shd w:val="clear" w:color="auto" w:fill="auto"/>
                                  <w:vAlign w:val="center"/>
                                  <w:hideMark/>
                                </w:tcPr>
                                <w:p w14:paraId="320048B0" w14:textId="77777777" w:rsidR="00A87AB3" w:rsidRPr="00AD05CC" w:rsidRDefault="00A87AB3" w:rsidP="00256489">
                                  <w:pPr>
                                    <w:spacing w:after="0" w:line="240" w:lineRule="auto"/>
                                    <w:jc w:val="center"/>
                                    <w:rPr>
                                      <w:rFonts w:eastAsia="Times New Roman" w:cs="Times New Roman"/>
                                      <w:sz w:val="16"/>
                                      <w:lang w:eastAsia="en-GB"/>
                                    </w:rPr>
                                  </w:pPr>
                                </w:p>
                              </w:tc>
                              <w:tc>
                                <w:tcPr>
                                  <w:tcW w:w="2095" w:type="pct"/>
                                  <w:tcBorders>
                                    <w:top w:val="nil"/>
                                    <w:left w:val="nil"/>
                                    <w:bottom w:val="nil"/>
                                    <w:right w:val="nil"/>
                                  </w:tcBorders>
                                  <w:shd w:val="clear" w:color="auto" w:fill="auto"/>
                                  <w:vAlign w:val="bottom"/>
                                  <w:hideMark/>
                                </w:tcPr>
                                <w:p w14:paraId="4FF14813" w14:textId="77777777" w:rsidR="00A87AB3" w:rsidRPr="00AD05CC" w:rsidRDefault="00A87AB3" w:rsidP="00256489">
                                  <w:pPr>
                                    <w:spacing w:after="0" w:line="240" w:lineRule="auto"/>
                                    <w:jc w:val="center"/>
                                    <w:rPr>
                                      <w:rFonts w:eastAsia="Times New Roman" w:cs="Times New Roman"/>
                                      <w:sz w:val="16"/>
                                      <w:lang w:eastAsia="en-GB"/>
                                    </w:rPr>
                                  </w:pPr>
                                </w:p>
                              </w:tc>
                              <w:tc>
                                <w:tcPr>
                                  <w:tcW w:w="581" w:type="pct"/>
                                  <w:tcBorders>
                                    <w:top w:val="nil"/>
                                    <w:left w:val="nil"/>
                                    <w:bottom w:val="nil"/>
                                    <w:right w:val="nil"/>
                                  </w:tcBorders>
                                  <w:shd w:val="clear" w:color="auto" w:fill="auto"/>
                                  <w:vAlign w:val="bottom"/>
                                  <w:hideMark/>
                                </w:tcPr>
                                <w:p w14:paraId="7666ED52" w14:textId="77777777" w:rsidR="00A87AB3" w:rsidRPr="00AD05CC" w:rsidRDefault="00A87AB3" w:rsidP="00256489">
                                  <w:pPr>
                                    <w:spacing w:after="0" w:line="240" w:lineRule="auto"/>
                                    <w:rPr>
                                      <w:rFonts w:eastAsia="Times New Roman" w:cs="Times New Roman"/>
                                      <w:sz w:val="16"/>
                                      <w:lang w:eastAsia="en-GB"/>
                                    </w:rPr>
                                  </w:pPr>
                                </w:p>
                              </w:tc>
                              <w:tc>
                                <w:tcPr>
                                  <w:tcW w:w="581" w:type="pct"/>
                                  <w:tcBorders>
                                    <w:top w:val="nil"/>
                                    <w:left w:val="nil"/>
                                    <w:bottom w:val="nil"/>
                                    <w:right w:val="nil"/>
                                  </w:tcBorders>
                                  <w:shd w:val="clear" w:color="auto" w:fill="auto"/>
                                  <w:noWrap/>
                                  <w:vAlign w:val="bottom"/>
                                  <w:hideMark/>
                                </w:tcPr>
                                <w:p w14:paraId="65AB5C9F" w14:textId="77777777" w:rsidR="00A87AB3" w:rsidRPr="00AD05CC" w:rsidRDefault="00A87AB3" w:rsidP="00256489">
                                  <w:pPr>
                                    <w:spacing w:after="0" w:line="240" w:lineRule="auto"/>
                                    <w:rPr>
                                      <w:rFonts w:eastAsia="Times New Roman" w:cs="Times New Roman"/>
                                      <w:sz w:val="16"/>
                                      <w:lang w:eastAsia="en-GB"/>
                                    </w:rPr>
                                  </w:pPr>
                                </w:p>
                              </w:tc>
                            </w:tr>
                            <w:tr w:rsidR="00A87AB3" w:rsidRPr="00AD05CC" w14:paraId="180B2FDA" w14:textId="77777777" w:rsidTr="00256489">
                              <w:trPr>
                                <w:trHeight w:val="189"/>
                              </w:trPr>
                              <w:tc>
                                <w:tcPr>
                                  <w:tcW w:w="3838" w:type="pct"/>
                                  <w:gridSpan w:val="4"/>
                                  <w:tcBorders>
                                    <w:top w:val="nil"/>
                                    <w:left w:val="nil"/>
                                    <w:bottom w:val="nil"/>
                                    <w:right w:val="single" w:sz="4" w:space="0" w:color="000000"/>
                                  </w:tcBorders>
                                  <w:shd w:val="clear" w:color="auto" w:fill="auto"/>
                                  <w:noWrap/>
                                  <w:vAlign w:val="center"/>
                                  <w:hideMark/>
                                </w:tcPr>
                                <w:p w14:paraId="65A16356" w14:textId="77777777" w:rsidR="00A87AB3" w:rsidRPr="00AD05CC" w:rsidRDefault="00A87AB3" w:rsidP="00256489">
                                  <w:pPr>
                                    <w:spacing w:after="0" w:line="240" w:lineRule="auto"/>
                                    <w:jc w:val="right"/>
                                    <w:rPr>
                                      <w:rFonts w:eastAsia="Times New Roman" w:cs="Arial"/>
                                      <w:bCs/>
                                      <w:sz w:val="16"/>
                                      <w:lang w:eastAsia="en-GB"/>
                                    </w:rPr>
                                  </w:pPr>
                                  <w:r w:rsidRPr="00AD05CC">
                                    <w:rPr>
                                      <w:rFonts w:eastAsia="Times New Roman" w:cs="Arial"/>
                                      <w:bCs/>
                                      <w:sz w:val="16"/>
                                      <w:lang w:eastAsia="en-GB"/>
                                    </w:rPr>
                                    <w:t>Final balance payable to the FMC / NMFA</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B6CCD41" w14:textId="0F68D520" w:rsidR="00A87AB3" w:rsidRPr="00AD05CC" w:rsidRDefault="00A87AB3" w:rsidP="00256489">
                                  <w:pPr>
                                    <w:spacing w:after="0" w:line="240" w:lineRule="auto"/>
                                    <w:jc w:val="right"/>
                                    <w:rPr>
                                      <w:rFonts w:eastAsia="Times New Roman" w:cs="Arial"/>
                                      <w:sz w:val="16"/>
                                      <w:lang w:eastAsia="en-GB"/>
                                    </w:rPr>
                                  </w:pPr>
                                  <w:r w:rsidRPr="00AD05CC">
                                    <w:rPr>
                                      <w:rFonts w:eastAsia="Times New Roman" w:cs="Arial"/>
                                      <w:sz w:val="16"/>
                                      <w:lang w:eastAsia="en-GB"/>
                                    </w:rPr>
                                    <w:t xml:space="preserve">-   </w:t>
                                  </w:r>
                                </w:p>
                              </w:tc>
                            </w:tr>
                          </w:tbl>
                          <w:p w14:paraId="00376DC7" w14:textId="77777777" w:rsidR="00A87AB3" w:rsidRPr="00AD05CC" w:rsidRDefault="00A87A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A5ACA" id="_x0000_s1054" type="#_x0000_t202" style="position:absolute;left:0;text-align:left;margin-left:0;margin-top:47.7pt;width:431.25pt;height:397.5pt;z-index:-2516193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">
                <v:textbox>
                  <w:txbxContent>
                    <w:p w14:paraId="70437393" w14:textId="77777777" w:rsidR="00A87AB3" w:rsidRPr="00AD05CC" w:rsidRDefault="00A87AB3">
                      <w:pPr>
                        <w:rPr>
                          <w:b/>
                        </w:rPr>
                      </w:pPr>
                      <w:r w:rsidRPr="00AD05CC">
                        <w:rPr>
                          <w:b/>
                        </w:rPr>
                        <w:t>Example:</w:t>
                      </w:r>
                    </w:p>
                    <w:tbl>
                      <w:tblPr>
                        <w:tblW w:w="5000" w:type="pct"/>
                        <w:tblLook w:val="04A0" w:firstRow="1" w:lastRow="0" w:firstColumn="1" w:lastColumn="0" w:noHBand="0" w:noVBand="1"/>
                      </w:tblPr>
                      <w:tblGrid>
                        <w:gridCol w:w="962"/>
                        <w:gridCol w:w="962"/>
                        <w:gridCol w:w="962"/>
                        <w:gridCol w:w="3479"/>
                        <w:gridCol w:w="972"/>
                        <w:gridCol w:w="971"/>
                      </w:tblGrid>
                      <w:tr w:rsidR="00A87AB3" w:rsidRPr="00AD05CC" w14:paraId="6BC7AFCE" w14:textId="77777777" w:rsidTr="00E9282E">
                        <w:trPr>
                          <w:trHeight w:val="227"/>
                        </w:trPr>
                        <w:tc>
                          <w:tcPr>
                            <w:tcW w:w="3838" w:type="pct"/>
                            <w:gridSpan w:val="4"/>
                            <w:tcBorders>
                              <w:top w:val="single" w:sz="8" w:space="0" w:color="auto"/>
                              <w:left w:val="single" w:sz="8" w:space="0" w:color="auto"/>
                              <w:bottom w:val="single" w:sz="4" w:space="0" w:color="000000"/>
                              <w:right w:val="nil"/>
                            </w:tcBorders>
                            <w:shd w:val="clear" w:color="auto" w:fill="D9D9D9" w:themeFill="background1" w:themeFillShade="D9"/>
                            <w:noWrap/>
                            <w:vAlign w:val="center"/>
                            <w:hideMark/>
                          </w:tcPr>
                          <w:p w14:paraId="66B5C636" w14:textId="1BBBEF50" w:rsidR="00A87AB3" w:rsidRPr="00AD05CC" w:rsidRDefault="00A87AB3" w:rsidP="00256489">
                            <w:pPr>
                              <w:spacing w:after="0" w:line="240" w:lineRule="auto"/>
                              <w:rPr>
                                <w:rFonts w:eastAsia="Times New Roman" w:cs="Arial"/>
                                <w:bCs/>
                                <w:sz w:val="16"/>
                                <w:szCs w:val="28"/>
                                <w:lang w:eastAsia="en-GB"/>
                              </w:rPr>
                            </w:pPr>
                            <w:r w:rsidRPr="00AD05CC">
                              <w:rPr>
                                <w:rFonts w:eastAsia="Times New Roman" w:cs="Arial"/>
                                <w:bCs/>
                                <w:sz w:val="16"/>
                                <w:szCs w:val="28"/>
                                <w:lang w:eastAsia="en-GB"/>
                              </w:rPr>
                              <w:t>Calculation of the final balance</w:t>
                            </w:r>
                            <w:r>
                              <w:rPr>
                                <w:rFonts w:eastAsia="Times New Roman" w:cs="Arial"/>
                                <w:bCs/>
                                <w:sz w:val="16"/>
                                <w:szCs w:val="28"/>
                                <w:lang w:eastAsia="en-GB"/>
                              </w:rPr>
                              <w:t xml:space="preserve"> </w:t>
                            </w:r>
                          </w:p>
                        </w:tc>
                        <w:tc>
                          <w:tcPr>
                            <w:tcW w:w="581" w:type="pct"/>
                            <w:tcBorders>
                              <w:top w:val="single" w:sz="8" w:space="0" w:color="auto"/>
                              <w:left w:val="nil"/>
                              <w:bottom w:val="single" w:sz="4" w:space="0" w:color="000000"/>
                              <w:right w:val="nil"/>
                            </w:tcBorders>
                            <w:shd w:val="clear" w:color="auto" w:fill="D9D9D9" w:themeFill="background1" w:themeFillShade="D9"/>
                            <w:vAlign w:val="center"/>
                            <w:hideMark/>
                          </w:tcPr>
                          <w:p w14:paraId="6681F08A" w14:textId="77777777" w:rsidR="00A87AB3" w:rsidRPr="00AD05CC" w:rsidRDefault="00A87AB3" w:rsidP="00256489">
                            <w:pPr>
                              <w:spacing w:after="0" w:line="240" w:lineRule="auto"/>
                              <w:rPr>
                                <w:rFonts w:eastAsia="Times New Roman" w:cs="Arial"/>
                                <w:bCs/>
                                <w:sz w:val="16"/>
                                <w:szCs w:val="28"/>
                                <w:lang w:eastAsia="en-GB"/>
                              </w:rPr>
                            </w:pPr>
                            <w:r w:rsidRPr="00AD05CC">
                              <w:rPr>
                                <w:rFonts w:eastAsia="Times New Roman" w:cs="Arial"/>
                                <w:bCs/>
                                <w:sz w:val="16"/>
                                <w:szCs w:val="28"/>
                                <w:lang w:eastAsia="en-GB"/>
                              </w:rPr>
                              <w:t> </w:t>
                            </w:r>
                          </w:p>
                        </w:tc>
                        <w:tc>
                          <w:tcPr>
                            <w:tcW w:w="581" w:type="pct"/>
                            <w:tcBorders>
                              <w:top w:val="single" w:sz="8" w:space="0" w:color="auto"/>
                              <w:left w:val="nil"/>
                              <w:bottom w:val="single" w:sz="4" w:space="0" w:color="000000"/>
                              <w:right w:val="single" w:sz="4" w:space="0" w:color="000000"/>
                            </w:tcBorders>
                            <w:shd w:val="clear" w:color="auto" w:fill="D9D9D9" w:themeFill="background1" w:themeFillShade="D9"/>
                            <w:vAlign w:val="center"/>
                            <w:hideMark/>
                          </w:tcPr>
                          <w:p w14:paraId="21F5BFB1" w14:textId="77777777" w:rsidR="00A87AB3" w:rsidRPr="00AD05CC" w:rsidRDefault="00A87AB3" w:rsidP="00256489">
                            <w:pPr>
                              <w:spacing w:after="0" w:line="240" w:lineRule="auto"/>
                              <w:rPr>
                                <w:rFonts w:eastAsia="Times New Roman" w:cs="Arial"/>
                                <w:bCs/>
                                <w:sz w:val="16"/>
                                <w:szCs w:val="28"/>
                                <w:lang w:eastAsia="en-GB"/>
                              </w:rPr>
                            </w:pPr>
                            <w:r w:rsidRPr="00AD05CC">
                              <w:rPr>
                                <w:rFonts w:eastAsia="Times New Roman" w:cs="Arial"/>
                                <w:bCs/>
                                <w:sz w:val="16"/>
                                <w:szCs w:val="28"/>
                                <w:lang w:eastAsia="en-GB"/>
                              </w:rPr>
                              <w:t> </w:t>
                            </w:r>
                          </w:p>
                        </w:tc>
                      </w:tr>
                      <w:tr w:rsidR="00A87AB3" w:rsidRPr="00AD05CC" w14:paraId="06BF0534" w14:textId="77777777" w:rsidTr="0027466E">
                        <w:trPr>
                          <w:trHeight w:val="189"/>
                        </w:trPr>
                        <w:tc>
                          <w:tcPr>
                            <w:tcW w:w="581" w:type="pct"/>
                            <w:tcBorders>
                              <w:top w:val="single" w:sz="4" w:space="0" w:color="000000"/>
                              <w:left w:val="nil"/>
                              <w:bottom w:val="nil"/>
                              <w:right w:val="nil"/>
                            </w:tcBorders>
                            <w:shd w:val="clear" w:color="auto" w:fill="auto"/>
                            <w:noWrap/>
                            <w:vAlign w:val="center"/>
                            <w:hideMark/>
                          </w:tcPr>
                          <w:p w14:paraId="66B06F1D" w14:textId="77777777" w:rsidR="00A87AB3" w:rsidRPr="00AD05CC" w:rsidRDefault="00A87AB3" w:rsidP="00256489">
                            <w:pPr>
                              <w:spacing w:after="0" w:line="240" w:lineRule="auto"/>
                              <w:rPr>
                                <w:rFonts w:eastAsia="Times New Roman" w:cs="Arial"/>
                                <w:bCs/>
                                <w:sz w:val="16"/>
                                <w:szCs w:val="28"/>
                                <w:lang w:eastAsia="en-GB"/>
                              </w:rPr>
                            </w:pPr>
                          </w:p>
                        </w:tc>
                        <w:tc>
                          <w:tcPr>
                            <w:tcW w:w="581" w:type="pct"/>
                            <w:tcBorders>
                              <w:top w:val="single" w:sz="4" w:space="0" w:color="000000"/>
                              <w:left w:val="nil"/>
                              <w:bottom w:val="nil"/>
                              <w:right w:val="nil"/>
                            </w:tcBorders>
                            <w:shd w:val="clear" w:color="auto" w:fill="auto"/>
                            <w:noWrap/>
                            <w:vAlign w:val="bottom"/>
                            <w:hideMark/>
                          </w:tcPr>
                          <w:p w14:paraId="19A3A05A" w14:textId="77777777" w:rsidR="00A87AB3" w:rsidRPr="00AD05CC" w:rsidRDefault="00A87AB3" w:rsidP="00256489">
                            <w:pPr>
                              <w:spacing w:after="0" w:line="240" w:lineRule="auto"/>
                              <w:ind w:firstLineChars="100" w:firstLine="160"/>
                              <w:jc w:val="right"/>
                              <w:rPr>
                                <w:rFonts w:eastAsia="Times New Roman" w:cs="Times New Roman"/>
                                <w:sz w:val="16"/>
                                <w:lang w:eastAsia="en-GB"/>
                              </w:rPr>
                            </w:pPr>
                          </w:p>
                        </w:tc>
                        <w:tc>
                          <w:tcPr>
                            <w:tcW w:w="581" w:type="pct"/>
                            <w:tcBorders>
                              <w:top w:val="single" w:sz="4" w:space="0" w:color="000000"/>
                              <w:left w:val="nil"/>
                              <w:bottom w:val="nil"/>
                              <w:right w:val="nil"/>
                            </w:tcBorders>
                            <w:shd w:val="clear" w:color="auto" w:fill="auto"/>
                            <w:noWrap/>
                            <w:vAlign w:val="bottom"/>
                            <w:hideMark/>
                          </w:tcPr>
                          <w:p w14:paraId="354B56FE" w14:textId="77777777" w:rsidR="00A87AB3" w:rsidRPr="00AD05CC" w:rsidRDefault="00A87AB3" w:rsidP="00256489">
                            <w:pPr>
                              <w:spacing w:after="0" w:line="240" w:lineRule="auto"/>
                              <w:rPr>
                                <w:rFonts w:eastAsia="Times New Roman" w:cs="Times New Roman"/>
                                <w:sz w:val="16"/>
                                <w:lang w:eastAsia="en-GB"/>
                              </w:rPr>
                            </w:pPr>
                          </w:p>
                        </w:tc>
                        <w:tc>
                          <w:tcPr>
                            <w:tcW w:w="2095" w:type="pct"/>
                            <w:tcBorders>
                              <w:top w:val="single" w:sz="4" w:space="0" w:color="000000"/>
                              <w:left w:val="nil"/>
                              <w:bottom w:val="nil"/>
                              <w:right w:val="nil"/>
                            </w:tcBorders>
                            <w:shd w:val="clear" w:color="auto" w:fill="auto"/>
                            <w:noWrap/>
                            <w:vAlign w:val="bottom"/>
                            <w:hideMark/>
                          </w:tcPr>
                          <w:p w14:paraId="26550DE4" w14:textId="77777777" w:rsidR="00A87AB3" w:rsidRPr="00AD05CC" w:rsidRDefault="00A87AB3" w:rsidP="00256489">
                            <w:pPr>
                              <w:spacing w:after="0" w:line="240" w:lineRule="auto"/>
                              <w:rPr>
                                <w:rFonts w:eastAsia="Times New Roman" w:cs="Times New Roman"/>
                                <w:sz w:val="16"/>
                                <w:lang w:eastAsia="en-GB"/>
                              </w:rPr>
                            </w:pPr>
                          </w:p>
                        </w:tc>
                        <w:tc>
                          <w:tcPr>
                            <w:tcW w:w="581" w:type="pct"/>
                            <w:tcBorders>
                              <w:top w:val="single" w:sz="4" w:space="0" w:color="000000"/>
                              <w:left w:val="nil"/>
                              <w:bottom w:val="nil"/>
                              <w:right w:val="nil"/>
                            </w:tcBorders>
                            <w:shd w:val="clear" w:color="auto" w:fill="auto"/>
                            <w:noWrap/>
                            <w:vAlign w:val="bottom"/>
                            <w:hideMark/>
                          </w:tcPr>
                          <w:p w14:paraId="28029F79" w14:textId="77777777" w:rsidR="00A87AB3" w:rsidRPr="00AD05CC" w:rsidRDefault="00A87AB3" w:rsidP="00256489">
                            <w:pPr>
                              <w:spacing w:after="0" w:line="240" w:lineRule="auto"/>
                              <w:rPr>
                                <w:rFonts w:eastAsia="Times New Roman" w:cs="Times New Roman"/>
                                <w:sz w:val="16"/>
                                <w:lang w:eastAsia="en-GB"/>
                              </w:rPr>
                            </w:pPr>
                          </w:p>
                        </w:tc>
                        <w:tc>
                          <w:tcPr>
                            <w:tcW w:w="581" w:type="pct"/>
                            <w:tcBorders>
                              <w:top w:val="single" w:sz="4" w:space="0" w:color="000000"/>
                              <w:left w:val="nil"/>
                              <w:bottom w:val="nil"/>
                              <w:right w:val="nil"/>
                            </w:tcBorders>
                            <w:shd w:val="clear" w:color="auto" w:fill="auto"/>
                            <w:noWrap/>
                            <w:vAlign w:val="bottom"/>
                            <w:hideMark/>
                          </w:tcPr>
                          <w:p w14:paraId="07ACAEEA" w14:textId="77777777" w:rsidR="00A87AB3" w:rsidRPr="00AD05CC" w:rsidRDefault="00A87AB3" w:rsidP="00256489">
                            <w:pPr>
                              <w:spacing w:after="0" w:line="240" w:lineRule="auto"/>
                              <w:rPr>
                                <w:rFonts w:eastAsia="Times New Roman" w:cs="Times New Roman"/>
                                <w:sz w:val="16"/>
                                <w:lang w:eastAsia="en-GB"/>
                              </w:rPr>
                            </w:pPr>
                          </w:p>
                        </w:tc>
                      </w:tr>
                      <w:tr w:rsidR="00A87AB3" w:rsidRPr="00AD05CC" w14:paraId="0984496D" w14:textId="77777777" w:rsidTr="00E9282E">
                        <w:trPr>
                          <w:trHeight w:val="189"/>
                        </w:trPr>
                        <w:tc>
                          <w:tcPr>
                            <w:tcW w:w="174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374639" w14:textId="77777777" w:rsidR="00A87AB3" w:rsidRPr="00AD05CC" w:rsidRDefault="00A87AB3" w:rsidP="00256489">
                            <w:pPr>
                              <w:spacing w:after="0" w:line="240" w:lineRule="auto"/>
                              <w:rPr>
                                <w:rFonts w:eastAsia="Times New Roman" w:cs="Arial"/>
                                <w:bCs/>
                                <w:sz w:val="16"/>
                                <w:lang w:eastAsia="en-GB"/>
                              </w:rPr>
                            </w:pPr>
                            <w:r w:rsidRPr="00AD05CC">
                              <w:rPr>
                                <w:rFonts w:eastAsia="Times New Roman" w:cs="Arial"/>
                                <w:bCs/>
                                <w:sz w:val="16"/>
                                <w:lang w:eastAsia="en-GB"/>
                              </w:rPr>
                              <w:t>Total eligible expenditure</w:t>
                            </w:r>
                          </w:p>
                        </w:tc>
                        <w:tc>
                          <w:tcPr>
                            <w:tcW w:w="2095" w:type="pct"/>
                            <w:tcBorders>
                              <w:top w:val="single" w:sz="4" w:space="0" w:color="auto"/>
                              <w:left w:val="nil"/>
                              <w:bottom w:val="single" w:sz="4" w:space="0" w:color="auto"/>
                              <w:right w:val="single" w:sz="4" w:space="0" w:color="auto"/>
                            </w:tcBorders>
                            <w:shd w:val="clear" w:color="auto" w:fill="auto"/>
                            <w:noWrap/>
                            <w:vAlign w:val="center"/>
                            <w:hideMark/>
                          </w:tcPr>
                          <w:p w14:paraId="088DEA9A" w14:textId="1064DC5D" w:rsidR="00A87AB3" w:rsidRPr="00AD05CC" w:rsidRDefault="00A87AB3" w:rsidP="007A1507">
                            <w:pPr>
                              <w:spacing w:after="0" w:line="240" w:lineRule="auto"/>
                              <w:jc w:val="right"/>
                              <w:rPr>
                                <w:rFonts w:eastAsia="Times New Roman" w:cs="Arial"/>
                                <w:sz w:val="16"/>
                                <w:lang w:eastAsia="en-GB"/>
                              </w:rPr>
                            </w:pPr>
                            <w:r>
                              <w:rPr>
                                <w:rFonts w:eastAsia="Times New Roman" w:cs="Arial"/>
                                <w:sz w:val="16"/>
                                <w:lang w:eastAsia="en-GB"/>
                              </w:rPr>
                              <w:t xml:space="preserve"> </w:t>
                            </w: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1</w:t>
                            </w:r>
                            <w:r>
                              <w:rPr>
                                <w:rFonts w:eastAsia="Times New Roman" w:cs="Arial"/>
                                <w:sz w:val="16"/>
                                <w:lang w:eastAsia="en-GB"/>
                              </w:rPr>
                              <w:t>,</w:t>
                            </w:r>
                            <w:r w:rsidRPr="00AD05CC">
                              <w:rPr>
                                <w:rFonts w:eastAsia="Times New Roman" w:cs="Arial"/>
                                <w:sz w:val="16"/>
                                <w:lang w:eastAsia="en-GB"/>
                              </w:rPr>
                              <w:t xml:space="preserve">300000 </w:t>
                            </w:r>
                          </w:p>
                        </w:tc>
                        <w:tc>
                          <w:tcPr>
                            <w:tcW w:w="581" w:type="pct"/>
                            <w:tcBorders>
                              <w:top w:val="nil"/>
                              <w:left w:val="nil"/>
                              <w:bottom w:val="nil"/>
                              <w:right w:val="nil"/>
                            </w:tcBorders>
                            <w:shd w:val="clear" w:color="auto" w:fill="auto"/>
                            <w:noWrap/>
                            <w:vAlign w:val="bottom"/>
                            <w:hideMark/>
                          </w:tcPr>
                          <w:p w14:paraId="476DCD04" w14:textId="77777777" w:rsidR="00A87AB3" w:rsidRPr="00AD05CC" w:rsidRDefault="00A87AB3" w:rsidP="00256489">
                            <w:pPr>
                              <w:spacing w:after="0" w:line="240" w:lineRule="auto"/>
                              <w:jc w:val="right"/>
                              <w:rPr>
                                <w:rFonts w:eastAsia="Times New Roman" w:cs="Arial"/>
                                <w:sz w:val="16"/>
                                <w:lang w:eastAsia="en-GB"/>
                              </w:rPr>
                            </w:pPr>
                          </w:p>
                        </w:tc>
                        <w:tc>
                          <w:tcPr>
                            <w:tcW w:w="581" w:type="pct"/>
                            <w:tcBorders>
                              <w:top w:val="nil"/>
                              <w:left w:val="nil"/>
                              <w:bottom w:val="nil"/>
                              <w:right w:val="nil"/>
                            </w:tcBorders>
                            <w:shd w:val="clear" w:color="auto" w:fill="auto"/>
                            <w:noWrap/>
                            <w:vAlign w:val="bottom"/>
                            <w:hideMark/>
                          </w:tcPr>
                          <w:p w14:paraId="5A5EFFB3" w14:textId="77777777" w:rsidR="00A87AB3" w:rsidRPr="00AD05CC" w:rsidRDefault="00A87AB3" w:rsidP="00256489">
                            <w:pPr>
                              <w:spacing w:after="0" w:line="240" w:lineRule="auto"/>
                              <w:rPr>
                                <w:rFonts w:eastAsia="Times New Roman" w:cs="Times New Roman"/>
                                <w:sz w:val="16"/>
                                <w:lang w:eastAsia="en-GB"/>
                              </w:rPr>
                            </w:pPr>
                          </w:p>
                        </w:tc>
                      </w:tr>
                      <w:tr w:rsidR="00A87AB3" w:rsidRPr="00AD05CC" w14:paraId="2C0A7393" w14:textId="77777777" w:rsidTr="00E9282E">
                        <w:trPr>
                          <w:trHeight w:val="189"/>
                        </w:trPr>
                        <w:tc>
                          <w:tcPr>
                            <w:tcW w:w="174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3019472" w14:textId="77777777" w:rsidR="00A87AB3" w:rsidRPr="00AD05CC" w:rsidRDefault="00A87AB3" w:rsidP="00256489">
                            <w:pPr>
                              <w:spacing w:after="0" w:line="240" w:lineRule="auto"/>
                              <w:rPr>
                                <w:rFonts w:eastAsia="Times New Roman" w:cs="Arial"/>
                                <w:bCs/>
                                <w:sz w:val="16"/>
                                <w:lang w:eastAsia="en-GB"/>
                              </w:rPr>
                            </w:pPr>
                            <w:r w:rsidRPr="00AD05CC">
                              <w:rPr>
                                <w:rFonts w:eastAsia="Times New Roman" w:cs="Arial"/>
                                <w:bCs/>
                                <w:sz w:val="16"/>
                                <w:lang w:eastAsia="en-GB"/>
                              </w:rPr>
                              <w:t>Total grant amount available</w:t>
                            </w:r>
                          </w:p>
                        </w:tc>
                        <w:tc>
                          <w:tcPr>
                            <w:tcW w:w="2095" w:type="pct"/>
                            <w:tcBorders>
                              <w:top w:val="nil"/>
                              <w:left w:val="nil"/>
                              <w:bottom w:val="single" w:sz="4" w:space="0" w:color="auto"/>
                              <w:right w:val="single" w:sz="4" w:space="0" w:color="auto"/>
                            </w:tcBorders>
                            <w:shd w:val="clear" w:color="auto" w:fill="auto"/>
                            <w:noWrap/>
                            <w:vAlign w:val="center"/>
                            <w:hideMark/>
                          </w:tcPr>
                          <w:p w14:paraId="5EA89594" w14:textId="08669F13" w:rsidR="00A87AB3" w:rsidRPr="00AD05CC" w:rsidRDefault="00A87AB3" w:rsidP="007A1507">
                            <w:pPr>
                              <w:spacing w:after="0" w:line="240" w:lineRule="auto"/>
                              <w:jc w:val="right"/>
                              <w:rPr>
                                <w:rFonts w:eastAsia="Times New Roman" w:cs="Arial"/>
                                <w:sz w:val="16"/>
                                <w:lang w:eastAsia="en-GB"/>
                              </w:rPr>
                            </w:pP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1</w:t>
                            </w:r>
                            <w:r>
                              <w:rPr>
                                <w:rFonts w:eastAsia="Times New Roman" w:cs="Arial"/>
                                <w:sz w:val="16"/>
                                <w:lang w:eastAsia="en-GB"/>
                              </w:rPr>
                              <w:t>,105,</w:t>
                            </w:r>
                            <w:r w:rsidRPr="00AD05CC">
                              <w:rPr>
                                <w:rFonts w:eastAsia="Times New Roman" w:cs="Arial"/>
                                <w:sz w:val="16"/>
                                <w:lang w:eastAsia="en-GB"/>
                              </w:rPr>
                              <w:t xml:space="preserve">000 </w:t>
                            </w:r>
                          </w:p>
                        </w:tc>
                        <w:tc>
                          <w:tcPr>
                            <w:tcW w:w="581" w:type="pct"/>
                            <w:tcBorders>
                              <w:top w:val="nil"/>
                              <w:left w:val="nil"/>
                              <w:bottom w:val="nil"/>
                              <w:right w:val="nil"/>
                            </w:tcBorders>
                            <w:shd w:val="clear" w:color="auto" w:fill="auto"/>
                            <w:noWrap/>
                            <w:vAlign w:val="bottom"/>
                            <w:hideMark/>
                          </w:tcPr>
                          <w:p w14:paraId="047F4981" w14:textId="77777777" w:rsidR="00A87AB3" w:rsidRPr="00AD05CC" w:rsidRDefault="00A87AB3" w:rsidP="00256489">
                            <w:pPr>
                              <w:spacing w:after="0" w:line="240" w:lineRule="auto"/>
                              <w:jc w:val="right"/>
                              <w:rPr>
                                <w:rFonts w:eastAsia="Times New Roman" w:cs="Arial"/>
                                <w:sz w:val="16"/>
                                <w:lang w:eastAsia="en-GB"/>
                              </w:rPr>
                            </w:pPr>
                          </w:p>
                        </w:tc>
                        <w:tc>
                          <w:tcPr>
                            <w:tcW w:w="581" w:type="pct"/>
                            <w:tcBorders>
                              <w:top w:val="nil"/>
                              <w:left w:val="nil"/>
                              <w:bottom w:val="nil"/>
                              <w:right w:val="nil"/>
                            </w:tcBorders>
                            <w:shd w:val="clear" w:color="auto" w:fill="auto"/>
                            <w:noWrap/>
                            <w:vAlign w:val="bottom"/>
                            <w:hideMark/>
                          </w:tcPr>
                          <w:p w14:paraId="22337B35" w14:textId="77777777" w:rsidR="00A87AB3" w:rsidRPr="00AD05CC" w:rsidRDefault="00A87AB3" w:rsidP="00256489">
                            <w:pPr>
                              <w:spacing w:after="0" w:line="240" w:lineRule="auto"/>
                              <w:rPr>
                                <w:rFonts w:eastAsia="Times New Roman" w:cs="Times New Roman"/>
                                <w:sz w:val="16"/>
                                <w:lang w:eastAsia="en-GB"/>
                              </w:rPr>
                            </w:pPr>
                          </w:p>
                        </w:tc>
                      </w:tr>
                      <w:tr w:rsidR="00A87AB3" w:rsidRPr="00AD05CC" w14:paraId="4E47E05D" w14:textId="77777777" w:rsidTr="00E9282E">
                        <w:trPr>
                          <w:trHeight w:val="189"/>
                        </w:trPr>
                        <w:tc>
                          <w:tcPr>
                            <w:tcW w:w="1743"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800A7A5" w14:textId="77777777" w:rsidR="00A87AB3" w:rsidRPr="00AD05CC" w:rsidRDefault="00A87AB3" w:rsidP="00256489">
                            <w:pPr>
                              <w:spacing w:after="0" w:line="240" w:lineRule="auto"/>
                              <w:rPr>
                                <w:rFonts w:eastAsia="Times New Roman" w:cs="Arial"/>
                                <w:bCs/>
                                <w:sz w:val="16"/>
                                <w:lang w:eastAsia="en-GB"/>
                              </w:rPr>
                            </w:pPr>
                            <w:r w:rsidRPr="00AD05CC">
                              <w:rPr>
                                <w:rFonts w:eastAsia="Times New Roman" w:cs="Arial"/>
                                <w:bCs/>
                                <w:sz w:val="16"/>
                                <w:lang w:eastAsia="en-GB"/>
                              </w:rPr>
                              <w:t>Awarded grant rate in %</w:t>
                            </w:r>
                          </w:p>
                        </w:tc>
                        <w:tc>
                          <w:tcPr>
                            <w:tcW w:w="2095" w:type="pct"/>
                            <w:tcBorders>
                              <w:top w:val="nil"/>
                              <w:left w:val="nil"/>
                              <w:bottom w:val="single" w:sz="4" w:space="0" w:color="auto"/>
                              <w:right w:val="single" w:sz="4" w:space="0" w:color="auto"/>
                            </w:tcBorders>
                            <w:shd w:val="clear" w:color="auto" w:fill="auto"/>
                            <w:noWrap/>
                            <w:vAlign w:val="center"/>
                            <w:hideMark/>
                          </w:tcPr>
                          <w:p w14:paraId="3C2C253B" w14:textId="77777777" w:rsidR="00A87AB3" w:rsidRPr="00AD05CC" w:rsidRDefault="00A87AB3" w:rsidP="00256489">
                            <w:pPr>
                              <w:spacing w:after="0" w:line="240" w:lineRule="auto"/>
                              <w:jc w:val="right"/>
                              <w:rPr>
                                <w:rFonts w:eastAsia="Times New Roman" w:cs="Arial"/>
                                <w:sz w:val="16"/>
                                <w:lang w:eastAsia="en-GB"/>
                              </w:rPr>
                            </w:pPr>
                            <w:r w:rsidRPr="00AD05CC">
                              <w:rPr>
                                <w:rFonts w:eastAsia="Times New Roman" w:cs="Arial"/>
                                <w:sz w:val="16"/>
                                <w:lang w:eastAsia="en-GB"/>
                              </w:rPr>
                              <w:t>85%</w:t>
                            </w:r>
                          </w:p>
                        </w:tc>
                        <w:tc>
                          <w:tcPr>
                            <w:tcW w:w="581" w:type="pct"/>
                            <w:tcBorders>
                              <w:top w:val="nil"/>
                              <w:left w:val="nil"/>
                              <w:bottom w:val="nil"/>
                              <w:right w:val="nil"/>
                            </w:tcBorders>
                            <w:shd w:val="clear" w:color="auto" w:fill="auto"/>
                            <w:noWrap/>
                            <w:vAlign w:val="bottom"/>
                            <w:hideMark/>
                          </w:tcPr>
                          <w:p w14:paraId="049D1C6F" w14:textId="77777777" w:rsidR="00A87AB3" w:rsidRPr="00AD05CC" w:rsidRDefault="00A87AB3" w:rsidP="00256489">
                            <w:pPr>
                              <w:spacing w:after="0" w:line="240" w:lineRule="auto"/>
                              <w:jc w:val="right"/>
                              <w:rPr>
                                <w:rFonts w:eastAsia="Times New Roman" w:cs="Arial"/>
                                <w:sz w:val="16"/>
                                <w:lang w:eastAsia="en-GB"/>
                              </w:rPr>
                            </w:pPr>
                          </w:p>
                        </w:tc>
                        <w:tc>
                          <w:tcPr>
                            <w:tcW w:w="581" w:type="pct"/>
                            <w:tcBorders>
                              <w:top w:val="nil"/>
                              <w:left w:val="nil"/>
                              <w:bottom w:val="nil"/>
                              <w:right w:val="nil"/>
                            </w:tcBorders>
                            <w:shd w:val="clear" w:color="auto" w:fill="auto"/>
                            <w:noWrap/>
                            <w:vAlign w:val="bottom"/>
                            <w:hideMark/>
                          </w:tcPr>
                          <w:p w14:paraId="1A587331" w14:textId="77777777" w:rsidR="00A87AB3" w:rsidRPr="00AD05CC" w:rsidRDefault="00A87AB3" w:rsidP="00256489">
                            <w:pPr>
                              <w:spacing w:after="0" w:line="240" w:lineRule="auto"/>
                              <w:rPr>
                                <w:rFonts w:eastAsia="Times New Roman" w:cs="Times New Roman"/>
                                <w:sz w:val="16"/>
                                <w:lang w:eastAsia="en-GB"/>
                              </w:rPr>
                            </w:pPr>
                          </w:p>
                        </w:tc>
                      </w:tr>
                      <w:tr w:rsidR="00A87AB3" w:rsidRPr="00AD05CC" w14:paraId="11BB53C7" w14:textId="77777777" w:rsidTr="00256489">
                        <w:trPr>
                          <w:trHeight w:val="189"/>
                        </w:trPr>
                        <w:tc>
                          <w:tcPr>
                            <w:tcW w:w="581" w:type="pct"/>
                            <w:tcBorders>
                              <w:top w:val="nil"/>
                              <w:left w:val="nil"/>
                              <w:bottom w:val="nil"/>
                              <w:right w:val="nil"/>
                            </w:tcBorders>
                            <w:shd w:val="clear" w:color="auto" w:fill="auto"/>
                            <w:noWrap/>
                            <w:vAlign w:val="center"/>
                            <w:hideMark/>
                          </w:tcPr>
                          <w:p w14:paraId="36772727" w14:textId="77777777" w:rsidR="00A87AB3" w:rsidRPr="00AD05CC" w:rsidRDefault="00A87AB3" w:rsidP="00256489">
                            <w:pPr>
                              <w:spacing w:after="0" w:line="240" w:lineRule="auto"/>
                              <w:rPr>
                                <w:rFonts w:eastAsia="Times New Roman" w:cs="Times New Roman"/>
                                <w:sz w:val="16"/>
                                <w:lang w:eastAsia="en-GB"/>
                              </w:rPr>
                            </w:pPr>
                          </w:p>
                        </w:tc>
                        <w:tc>
                          <w:tcPr>
                            <w:tcW w:w="581" w:type="pct"/>
                            <w:tcBorders>
                              <w:top w:val="nil"/>
                              <w:left w:val="nil"/>
                              <w:bottom w:val="nil"/>
                              <w:right w:val="nil"/>
                            </w:tcBorders>
                            <w:shd w:val="clear" w:color="auto" w:fill="auto"/>
                            <w:noWrap/>
                            <w:vAlign w:val="bottom"/>
                            <w:hideMark/>
                          </w:tcPr>
                          <w:p w14:paraId="1425D511" w14:textId="77777777" w:rsidR="00A87AB3" w:rsidRPr="00AD05CC" w:rsidRDefault="00A87AB3" w:rsidP="00256489">
                            <w:pPr>
                              <w:spacing w:after="0" w:line="240" w:lineRule="auto"/>
                              <w:ind w:firstLineChars="100" w:firstLine="160"/>
                              <w:jc w:val="right"/>
                              <w:rPr>
                                <w:rFonts w:eastAsia="Times New Roman" w:cs="Times New Roman"/>
                                <w:sz w:val="16"/>
                                <w:lang w:eastAsia="en-GB"/>
                              </w:rPr>
                            </w:pPr>
                          </w:p>
                        </w:tc>
                        <w:tc>
                          <w:tcPr>
                            <w:tcW w:w="581" w:type="pct"/>
                            <w:tcBorders>
                              <w:top w:val="nil"/>
                              <w:left w:val="nil"/>
                              <w:bottom w:val="nil"/>
                              <w:right w:val="nil"/>
                            </w:tcBorders>
                            <w:shd w:val="clear" w:color="auto" w:fill="auto"/>
                            <w:noWrap/>
                            <w:vAlign w:val="bottom"/>
                            <w:hideMark/>
                          </w:tcPr>
                          <w:p w14:paraId="0A6BB51C" w14:textId="77777777" w:rsidR="00A87AB3" w:rsidRPr="00AD05CC" w:rsidRDefault="00A87AB3" w:rsidP="00256489">
                            <w:pPr>
                              <w:spacing w:after="0" w:line="240" w:lineRule="auto"/>
                              <w:rPr>
                                <w:rFonts w:eastAsia="Times New Roman" w:cs="Times New Roman"/>
                                <w:sz w:val="16"/>
                                <w:lang w:eastAsia="en-GB"/>
                              </w:rPr>
                            </w:pPr>
                          </w:p>
                        </w:tc>
                        <w:tc>
                          <w:tcPr>
                            <w:tcW w:w="2095" w:type="pct"/>
                            <w:tcBorders>
                              <w:top w:val="nil"/>
                              <w:left w:val="nil"/>
                              <w:bottom w:val="nil"/>
                              <w:right w:val="nil"/>
                            </w:tcBorders>
                            <w:shd w:val="clear" w:color="auto" w:fill="auto"/>
                            <w:noWrap/>
                            <w:vAlign w:val="bottom"/>
                            <w:hideMark/>
                          </w:tcPr>
                          <w:p w14:paraId="610FB508" w14:textId="77777777" w:rsidR="00A87AB3" w:rsidRPr="00AD05CC" w:rsidRDefault="00A87AB3" w:rsidP="00256489">
                            <w:pPr>
                              <w:spacing w:after="0" w:line="240" w:lineRule="auto"/>
                              <w:rPr>
                                <w:rFonts w:eastAsia="Times New Roman" w:cs="Times New Roman"/>
                                <w:sz w:val="16"/>
                                <w:lang w:eastAsia="en-GB"/>
                              </w:rPr>
                            </w:pPr>
                          </w:p>
                        </w:tc>
                        <w:tc>
                          <w:tcPr>
                            <w:tcW w:w="581" w:type="pct"/>
                            <w:tcBorders>
                              <w:top w:val="nil"/>
                              <w:left w:val="nil"/>
                              <w:bottom w:val="nil"/>
                              <w:right w:val="nil"/>
                            </w:tcBorders>
                            <w:shd w:val="clear" w:color="auto" w:fill="auto"/>
                            <w:noWrap/>
                            <w:vAlign w:val="bottom"/>
                            <w:hideMark/>
                          </w:tcPr>
                          <w:p w14:paraId="32A0E726" w14:textId="77777777" w:rsidR="00A87AB3" w:rsidRPr="00AD05CC" w:rsidRDefault="00A87AB3" w:rsidP="00256489">
                            <w:pPr>
                              <w:spacing w:after="0" w:line="240" w:lineRule="auto"/>
                              <w:rPr>
                                <w:rFonts w:eastAsia="Times New Roman" w:cs="Times New Roman"/>
                                <w:sz w:val="16"/>
                                <w:lang w:eastAsia="en-GB"/>
                              </w:rPr>
                            </w:pPr>
                          </w:p>
                        </w:tc>
                        <w:tc>
                          <w:tcPr>
                            <w:tcW w:w="581" w:type="pct"/>
                            <w:tcBorders>
                              <w:top w:val="nil"/>
                              <w:left w:val="nil"/>
                              <w:bottom w:val="nil"/>
                              <w:right w:val="nil"/>
                            </w:tcBorders>
                            <w:shd w:val="clear" w:color="auto" w:fill="auto"/>
                            <w:noWrap/>
                            <w:vAlign w:val="bottom"/>
                            <w:hideMark/>
                          </w:tcPr>
                          <w:p w14:paraId="61D05E37" w14:textId="77777777" w:rsidR="00A87AB3" w:rsidRPr="00AD05CC" w:rsidRDefault="00A87AB3" w:rsidP="00256489">
                            <w:pPr>
                              <w:spacing w:after="0" w:line="240" w:lineRule="auto"/>
                              <w:rPr>
                                <w:rFonts w:eastAsia="Times New Roman" w:cs="Times New Roman"/>
                                <w:sz w:val="16"/>
                                <w:lang w:eastAsia="en-GB"/>
                              </w:rPr>
                            </w:pPr>
                          </w:p>
                        </w:tc>
                      </w:tr>
                      <w:tr w:rsidR="00A87AB3" w:rsidRPr="00AD05CC" w14:paraId="6EC152B8" w14:textId="77777777" w:rsidTr="00E9282E">
                        <w:trPr>
                          <w:trHeight w:val="18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A89AD11" w14:textId="77777777" w:rsidR="00A87AB3" w:rsidRPr="00AD05CC" w:rsidRDefault="00A87AB3" w:rsidP="00256489">
                            <w:pPr>
                              <w:spacing w:after="0" w:line="240" w:lineRule="auto"/>
                              <w:rPr>
                                <w:rFonts w:eastAsia="Times New Roman" w:cs="Arial"/>
                                <w:bCs/>
                                <w:sz w:val="16"/>
                                <w:lang w:eastAsia="en-GB"/>
                              </w:rPr>
                            </w:pPr>
                            <w:r w:rsidRPr="00AD05CC">
                              <w:rPr>
                                <w:rFonts w:eastAsia="Times New Roman" w:cs="Arial"/>
                                <w:bCs/>
                                <w:sz w:val="16"/>
                                <w:lang w:eastAsia="en-GB"/>
                              </w:rPr>
                              <w:t>Total eligible expenditure</w:t>
                            </w:r>
                          </w:p>
                        </w:tc>
                      </w:tr>
                      <w:tr w:rsidR="00A87AB3" w:rsidRPr="00AD05CC" w14:paraId="7CE3DBE0" w14:textId="77777777" w:rsidTr="00256489">
                        <w:trPr>
                          <w:trHeight w:val="379"/>
                        </w:trPr>
                        <w:tc>
                          <w:tcPr>
                            <w:tcW w:w="383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8F4C1E" w14:textId="77777777" w:rsidR="00A87AB3" w:rsidRPr="00AD05CC" w:rsidRDefault="00A87AB3" w:rsidP="00256489">
                            <w:pPr>
                              <w:spacing w:after="0" w:line="240" w:lineRule="auto"/>
                              <w:jc w:val="right"/>
                              <w:rPr>
                                <w:rFonts w:eastAsia="Times New Roman" w:cs="Arial"/>
                                <w:bCs/>
                                <w:sz w:val="16"/>
                                <w:lang w:eastAsia="en-GB"/>
                              </w:rPr>
                            </w:pPr>
                            <w:r w:rsidRPr="00AD05CC">
                              <w:rPr>
                                <w:rFonts w:eastAsia="Times New Roman" w:cs="Arial"/>
                                <w:bCs/>
                                <w:sz w:val="16"/>
                                <w:lang w:eastAsia="en-GB"/>
                              </w:rPr>
                              <w:t>Total reported eligible expenditure of the programme</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967C455" w14:textId="63F153B9" w:rsidR="00A87AB3" w:rsidRPr="00AD05CC" w:rsidRDefault="00A87AB3" w:rsidP="007A1507">
                            <w:pPr>
                              <w:spacing w:after="0" w:line="240" w:lineRule="auto"/>
                              <w:jc w:val="right"/>
                              <w:rPr>
                                <w:rFonts w:eastAsia="Times New Roman" w:cs="Arial"/>
                                <w:sz w:val="16"/>
                                <w:lang w:eastAsia="en-GB"/>
                              </w:rPr>
                            </w:pPr>
                            <w:r>
                              <w:rPr>
                                <w:rFonts w:eastAsia="Times New Roman" w:cs="Arial"/>
                                <w:sz w:val="16"/>
                                <w:lang w:eastAsia="en-GB"/>
                              </w:rPr>
                              <w:t xml:space="preserve">    </w:t>
                            </w: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1</w:t>
                            </w:r>
                            <w:r>
                              <w:rPr>
                                <w:rFonts w:eastAsia="Times New Roman" w:cs="Arial"/>
                                <w:sz w:val="16"/>
                                <w:lang w:eastAsia="en-GB"/>
                              </w:rPr>
                              <w:t>,</w:t>
                            </w:r>
                            <w:r w:rsidRPr="00AD05CC">
                              <w:rPr>
                                <w:rFonts w:eastAsia="Times New Roman" w:cs="Arial"/>
                                <w:sz w:val="16"/>
                                <w:lang w:eastAsia="en-GB"/>
                              </w:rPr>
                              <w:t>200</w:t>
                            </w:r>
                            <w:r>
                              <w:rPr>
                                <w:rFonts w:eastAsia="Times New Roman" w:cs="Arial"/>
                                <w:sz w:val="16"/>
                                <w:lang w:eastAsia="en-GB"/>
                              </w:rPr>
                              <w:t>,</w:t>
                            </w:r>
                            <w:r w:rsidRPr="00AD05CC">
                              <w:rPr>
                                <w:rFonts w:eastAsia="Times New Roman" w:cs="Arial"/>
                                <w:sz w:val="16"/>
                                <w:lang w:eastAsia="en-GB"/>
                              </w:rPr>
                              <w:t xml:space="preserve">000 </w:t>
                            </w:r>
                          </w:p>
                        </w:tc>
                      </w:tr>
                      <w:tr w:rsidR="00A87AB3" w:rsidRPr="00AD05CC" w14:paraId="0D9D4862" w14:textId="77777777" w:rsidTr="00E9282E">
                        <w:trPr>
                          <w:trHeight w:val="18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7708E6" w14:textId="77777777" w:rsidR="00A87AB3" w:rsidRPr="00AD05CC" w:rsidRDefault="00A87AB3" w:rsidP="00256489">
                            <w:pPr>
                              <w:spacing w:after="0" w:line="240" w:lineRule="auto"/>
                              <w:rPr>
                                <w:rFonts w:eastAsia="Times New Roman" w:cs="Arial"/>
                                <w:bCs/>
                                <w:sz w:val="16"/>
                                <w:lang w:eastAsia="en-GB"/>
                              </w:rPr>
                            </w:pPr>
                            <w:r w:rsidRPr="00AD05CC">
                              <w:rPr>
                                <w:rFonts w:eastAsia="Times New Roman" w:cs="Arial"/>
                                <w:bCs/>
                                <w:sz w:val="16"/>
                                <w:lang w:eastAsia="en-GB"/>
                              </w:rPr>
                              <w:t>Less:</w:t>
                            </w:r>
                          </w:p>
                        </w:tc>
                      </w:tr>
                      <w:tr w:rsidR="00A87AB3" w:rsidRPr="00AD05CC" w14:paraId="0CF3EB21" w14:textId="77777777" w:rsidTr="00256489">
                        <w:trPr>
                          <w:trHeight w:val="379"/>
                        </w:trPr>
                        <w:tc>
                          <w:tcPr>
                            <w:tcW w:w="3838"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65EE8F7F" w14:textId="77777777" w:rsidR="00A87AB3" w:rsidRPr="00AD05CC" w:rsidRDefault="00A87AB3" w:rsidP="00256489">
                            <w:pPr>
                              <w:spacing w:after="0" w:line="240" w:lineRule="auto"/>
                              <w:jc w:val="right"/>
                              <w:rPr>
                                <w:rFonts w:eastAsia="Times New Roman" w:cs="Arial"/>
                                <w:bCs/>
                                <w:sz w:val="16"/>
                                <w:lang w:eastAsia="en-GB"/>
                              </w:rPr>
                            </w:pPr>
                            <w:r w:rsidRPr="00AD05CC">
                              <w:rPr>
                                <w:rFonts w:eastAsia="Times New Roman" w:cs="Arial"/>
                                <w:bCs/>
                                <w:sz w:val="16"/>
                                <w:lang w:eastAsia="en-GB"/>
                              </w:rPr>
                              <w:t>Total advance and interim payments to the programme from the FMO</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C03E850" w14:textId="3C25C669" w:rsidR="00A87AB3" w:rsidRPr="00AD05CC" w:rsidRDefault="00A87AB3" w:rsidP="007A1507">
                            <w:pPr>
                              <w:spacing w:after="0" w:line="240" w:lineRule="auto"/>
                              <w:jc w:val="right"/>
                              <w:rPr>
                                <w:rFonts w:eastAsia="Times New Roman" w:cs="Arial"/>
                                <w:sz w:val="16"/>
                                <w:lang w:eastAsia="en-GB"/>
                              </w:rPr>
                            </w:pP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850</w:t>
                            </w:r>
                            <w:r>
                              <w:rPr>
                                <w:rFonts w:eastAsia="Times New Roman" w:cs="Arial"/>
                                <w:sz w:val="16"/>
                                <w:lang w:eastAsia="en-GB"/>
                              </w:rPr>
                              <w:t>,</w:t>
                            </w:r>
                            <w:r w:rsidRPr="00AD05CC">
                              <w:rPr>
                                <w:rFonts w:eastAsia="Times New Roman" w:cs="Arial"/>
                                <w:sz w:val="16"/>
                                <w:lang w:eastAsia="en-GB"/>
                              </w:rPr>
                              <w:t xml:space="preserve">000 </w:t>
                            </w:r>
                          </w:p>
                        </w:tc>
                      </w:tr>
                      <w:tr w:rsidR="00A87AB3" w:rsidRPr="00AD05CC" w14:paraId="347ED200" w14:textId="77777777" w:rsidTr="00256489">
                        <w:trPr>
                          <w:trHeight w:val="379"/>
                        </w:trPr>
                        <w:tc>
                          <w:tcPr>
                            <w:tcW w:w="383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4900EF5" w14:textId="77777777" w:rsidR="00A87AB3" w:rsidRPr="00AD05CC" w:rsidRDefault="00A87AB3" w:rsidP="00256489">
                            <w:pPr>
                              <w:spacing w:after="0" w:line="240" w:lineRule="auto"/>
                              <w:jc w:val="right"/>
                              <w:rPr>
                                <w:rFonts w:eastAsia="Times New Roman" w:cs="Arial"/>
                                <w:bCs/>
                                <w:sz w:val="16"/>
                                <w:lang w:eastAsia="en-GB"/>
                              </w:rPr>
                            </w:pPr>
                            <w:r w:rsidRPr="00AD05CC">
                              <w:rPr>
                                <w:rFonts w:eastAsia="Times New Roman" w:cs="Arial"/>
                                <w:bCs/>
                                <w:sz w:val="16"/>
                                <w:lang w:eastAsia="en-GB"/>
                              </w:rPr>
                              <w:t>Any co-financing from sources other than the FMO</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59A88CC" w14:textId="10397AB2" w:rsidR="00A87AB3" w:rsidRPr="00AD05CC" w:rsidRDefault="00A87AB3" w:rsidP="007A1507">
                            <w:pPr>
                              <w:spacing w:after="0" w:line="240" w:lineRule="auto"/>
                              <w:jc w:val="right"/>
                              <w:rPr>
                                <w:rFonts w:eastAsia="Times New Roman" w:cs="Arial"/>
                                <w:sz w:val="16"/>
                                <w:lang w:eastAsia="en-GB"/>
                              </w:rPr>
                            </w:pPr>
                            <w:r>
                              <w:rPr>
                                <w:rFonts w:eastAsia="Times New Roman" w:cs="Arial"/>
                                <w:sz w:val="16"/>
                                <w:lang w:eastAsia="en-GB"/>
                              </w:rPr>
                              <w:t xml:space="preserve"> € </w:t>
                            </w:r>
                            <w:r w:rsidRPr="00AD05CC">
                              <w:rPr>
                                <w:rFonts w:eastAsia="Times New Roman" w:cs="Arial"/>
                                <w:sz w:val="16"/>
                                <w:lang w:eastAsia="en-GB"/>
                              </w:rPr>
                              <w:t>150</w:t>
                            </w:r>
                            <w:r>
                              <w:rPr>
                                <w:rFonts w:eastAsia="Times New Roman" w:cs="Arial"/>
                                <w:sz w:val="16"/>
                                <w:lang w:eastAsia="en-GB"/>
                              </w:rPr>
                              <w:t>,</w:t>
                            </w:r>
                            <w:r w:rsidRPr="00AD05CC">
                              <w:rPr>
                                <w:rFonts w:eastAsia="Times New Roman" w:cs="Arial"/>
                                <w:sz w:val="16"/>
                                <w:lang w:eastAsia="en-GB"/>
                              </w:rPr>
                              <w:t xml:space="preserve">000 </w:t>
                            </w:r>
                          </w:p>
                        </w:tc>
                      </w:tr>
                      <w:tr w:rsidR="00A87AB3" w:rsidRPr="00AD05CC" w14:paraId="31C61214" w14:textId="77777777" w:rsidTr="00256489">
                        <w:trPr>
                          <w:trHeight w:val="379"/>
                        </w:trPr>
                        <w:tc>
                          <w:tcPr>
                            <w:tcW w:w="383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04B2651" w14:textId="187AD8E5" w:rsidR="00A87AB3" w:rsidRPr="00AD05CC" w:rsidRDefault="00A87AB3" w:rsidP="007A1507">
                            <w:pPr>
                              <w:spacing w:after="0" w:line="240" w:lineRule="auto"/>
                              <w:jc w:val="right"/>
                              <w:rPr>
                                <w:rFonts w:eastAsia="Times New Roman" w:cs="Arial"/>
                                <w:bCs/>
                                <w:sz w:val="16"/>
                                <w:lang w:eastAsia="en-GB"/>
                              </w:rPr>
                            </w:pPr>
                            <w:r w:rsidRPr="00AD05CC">
                              <w:rPr>
                                <w:rFonts w:eastAsia="Times New Roman" w:cs="Arial"/>
                                <w:bCs/>
                                <w:sz w:val="16"/>
                                <w:lang w:eastAsia="en-GB"/>
                              </w:rPr>
                              <w:t>Total interes</w:t>
                            </w:r>
                            <w:r>
                              <w:rPr>
                                <w:rFonts w:eastAsia="Times New Roman" w:cs="Arial"/>
                                <w:bCs/>
                                <w:sz w:val="16"/>
                                <w:lang w:eastAsia="en-GB"/>
                              </w:rPr>
                              <w:t>t earned until the date of the F</w:t>
                            </w:r>
                            <w:r w:rsidRPr="00AD05CC">
                              <w:rPr>
                                <w:rFonts w:eastAsia="Times New Roman" w:cs="Arial"/>
                                <w:bCs/>
                                <w:sz w:val="16"/>
                                <w:lang w:eastAsia="en-GB"/>
                              </w:rPr>
                              <w:t xml:space="preserve">inal </w:t>
                            </w:r>
                            <w:r>
                              <w:rPr>
                                <w:rFonts w:eastAsia="Times New Roman" w:cs="Arial"/>
                                <w:bCs/>
                                <w:sz w:val="16"/>
                                <w:lang w:eastAsia="en-GB"/>
                              </w:rPr>
                              <w:t>P</w:t>
                            </w:r>
                            <w:r w:rsidRPr="00AD05CC">
                              <w:rPr>
                                <w:rFonts w:eastAsia="Times New Roman" w:cs="Arial"/>
                                <w:bCs/>
                                <w:sz w:val="16"/>
                                <w:lang w:eastAsia="en-GB"/>
                              </w:rPr>
                              <w:t>rogr</w:t>
                            </w:r>
                            <w:r>
                              <w:rPr>
                                <w:rFonts w:eastAsia="Times New Roman" w:cs="Arial"/>
                                <w:bCs/>
                                <w:sz w:val="16"/>
                                <w:lang w:eastAsia="en-GB"/>
                              </w:rPr>
                              <w:t>amme R</w:t>
                            </w:r>
                            <w:r w:rsidRPr="00AD05CC">
                              <w:rPr>
                                <w:rFonts w:eastAsia="Times New Roman" w:cs="Arial"/>
                                <w:bCs/>
                                <w:sz w:val="16"/>
                                <w:lang w:eastAsia="en-GB"/>
                              </w:rPr>
                              <w:t>eport but not reimbursed to the FMO</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E099C82" w14:textId="0824BC42" w:rsidR="00A87AB3" w:rsidRPr="00AD05CC" w:rsidRDefault="00A87AB3" w:rsidP="00256489">
                            <w:pPr>
                              <w:spacing w:after="0" w:line="240" w:lineRule="auto"/>
                              <w:jc w:val="right"/>
                              <w:rPr>
                                <w:rFonts w:eastAsia="Times New Roman" w:cs="Arial"/>
                                <w:sz w:val="16"/>
                                <w:lang w:eastAsia="en-GB"/>
                              </w:rPr>
                            </w:pP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 xml:space="preserve">200 </w:t>
                            </w:r>
                          </w:p>
                        </w:tc>
                      </w:tr>
                      <w:tr w:rsidR="00A87AB3" w:rsidRPr="00AD05CC" w14:paraId="4E5E11F8" w14:textId="77777777" w:rsidTr="00256489">
                        <w:trPr>
                          <w:trHeight w:val="455"/>
                        </w:trPr>
                        <w:tc>
                          <w:tcPr>
                            <w:tcW w:w="383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6B04BE1" w14:textId="77777777" w:rsidR="00A87AB3" w:rsidRPr="00AD05CC" w:rsidRDefault="00A87AB3" w:rsidP="00256489">
                            <w:pPr>
                              <w:spacing w:after="0" w:line="240" w:lineRule="auto"/>
                              <w:jc w:val="right"/>
                              <w:rPr>
                                <w:rFonts w:eastAsia="Times New Roman" w:cs="Arial"/>
                                <w:bCs/>
                                <w:sz w:val="16"/>
                                <w:lang w:eastAsia="en-GB"/>
                              </w:rPr>
                            </w:pPr>
                            <w:r w:rsidRPr="00AD05CC">
                              <w:rPr>
                                <w:rFonts w:eastAsia="Times New Roman" w:cs="Arial"/>
                                <w:bCs/>
                                <w:sz w:val="16"/>
                                <w:lang w:eastAsia="en-GB"/>
                              </w:rPr>
                              <w:t>Any funds reimbursed from PPs to the PO, not paid to other projects or reimbursed to the FMO.</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45BBC93" w14:textId="0456EF4C" w:rsidR="00A87AB3" w:rsidRPr="00AD05CC" w:rsidRDefault="00A87AB3" w:rsidP="00256489">
                            <w:pPr>
                              <w:spacing w:after="0" w:line="240" w:lineRule="auto"/>
                              <w:jc w:val="right"/>
                              <w:rPr>
                                <w:rFonts w:eastAsia="Times New Roman" w:cs="Arial"/>
                                <w:sz w:val="16"/>
                                <w:lang w:eastAsia="en-GB"/>
                              </w:rPr>
                            </w:pPr>
                            <w:r>
                              <w:rPr>
                                <w:rFonts w:eastAsia="Times New Roman" w:cs="Arial"/>
                                <w:sz w:val="16"/>
                                <w:lang w:eastAsia="en-GB"/>
                              </w:rPr>
                              <w:t xml:space="preserve"> </w:t>
                            </w: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 xml:space="preserve">300 </w:t>
                            </w:r>
                          </w:p>
                        </w:tc>
                      </w:tr>
                      <w:tr w:rsidR="00A87AB3" w:rsidRPr="00AD05CC" w14:paraId="1050485B" w14:textId="77777777" w:rsidTr="00E9282E">
                        <w:trPr>
                          <w:trHeight w:val="189"/>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E42446" w14:textId="77777777" w:rsidR="00A87AB3" w:rsidRPr="00AD05CC" w:rsidRDefault="00A87AB3" w:rsidP="00256489">
                            <w:pPr>
                              <w:spacing w:after="0" w:line="240" w:lineRule="auto"/>
                              <w:rPr>
                                <w:rFonts w:eastAsia="Times New Roman" w:cs="Arial"/>
                                <w:bCs/>
                                <w:sz w:val="16"/>
                                <w:lang w:eastAsia="en-GB"/>
                              </w:rPr>
                            </w:pPr>
                            <w:r w:rsidRPr="00AD05CC">
                              <w:rPr>
                                <w:rFonts w:eastAsia="Times New Roman" w:cs="Arial"/>
                                <w:bCs/>
                                <w:sz w:val="16"/>
                                <w:lang w:eastAsia="en-GB"/>
                              </w:rPr>
                              <w:t>Final balance</w:t>
                            </w:r>
                          </w:p>
                        </w:tc>
                      </w:tr>
                      <w:tr w:rsidR="00A87AB3" w:rsidRPr="00AD05CC" w14:paraId="20823D89" w14:textId="77777777" w:rsidTr="00256489">
                        <w:trPr>
                          <w:trHeight w:val="189"/>
                        </w:trPr>
                        <w:tc>
                          <w:tcPr>
                            <w:tcW w:w="383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48400" w14:textId="77777777" w:rsidR="00A87AB3" w:rsidRPr="00AD05CC" w:rsidRDefault="00A87AB3" w:rsidP="00256489">
                            <w:pPr>
                              <w:spacing w:after="0" w:line="240" w:lineRule="auto"/>
                              <w:jc w:val="right"/>
                              <w:rPr>
                                <w:rFonts w:eastAsia="Times New Roman" w:cs="Arial"/>
                                <w:bCs/>
                                <w:sz w:val="16"/>
                                <w:lang w:eastAsia="en-GB"/>
                              </w:rPr>
                            </w:pPr>
                            <w:r w:rsidRPr="00AD05CC">
                              <w:rPr>
                                <w:rFonts w:eastAsia="Times New Roman" w:cs="Arial"/>
                                <w:bCs/>
                                <w:sz w:val="16"/>
                                <w:lang w:eastAsia="en-GB"/>
                              </w:rPr>
                              <w:t>Total final balance</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978F601" w14:textId="1626D662" w:rsidR="00A87AB3" w:rsidRPr="00AD05CC" w:rsidRDefault="00A87AB3" w:rsidP="00256489">
                            <w:pPr>
                              <w:spacing w:after="0" w:line="240" w:lineRule="auto"/>
                              <w:jc w:val="right"/>
                              <w:rPr>
                                <w:rFonts w:eastAsia="Times New Roman" w:cs="Arial"/>
                                <w:sz w:val="16"/>
                                <w:lang w:eastAsia="en-GB"/>
                              </w:rPr>
                            </w:pPr>
                            <w:r>
                              <w:rPr>
                                <w:rFonts w:eastAsia="Times New Roman" w:cs="Arial"/>
                                <w:sz w:val="16"/>
                                <w:lang w:eastAsia="en-GB"/>
                              </w:rPr>
                              <w:t xml:space="preserve"> </w:t>
                            </w:r>
                            <w:r w:rsidRPr="00AD05CC">
                              <w:rPr>
                                <w:rFonts w:eastAsia="Times New Roman" w:cs="Arial"/>
                                <w:sz w:val="16"/>
                                <w:lang w:eastAsia="en-GB"/>
                              </w:rPr>
                              <w:t xml:space="preserve">               </w:t>
                            </w:r>
                            <w:r>
                              <w:rPr>
                                <w:rFonts w:eastAsia="Times New Roman" w:cs="Arial"/>
                                <w:sz w:val="16"/>
                                <w:lang w:eastAsia="en-GB"/>
                              </w:rPr>
                              <w:t>€ 199,</w:t>
                            </w:r>
                            <w:r w:rsidRPr="00AD05CC">
                              <w:rPr>
                                <w:rFonts w:eastAsia="Times New Roman" w:cs="Arial"/>
                                <w:sz w:val="16"/>
                                <w:lang w:eastAsia="en-GB"/>
                              </w:rPr>
                              <w:t xml:space="preserve">500 </w:t>
                            </w:r>
                          </w:p>
                        </w:tc>
                      </w:tr>
                      <w:tr w:rsidR="00A87AB3" w:rsidRPr="00AD05CC" w14:paraId="49351A36" w14:textId="77777777" w:rsidTr="00256489">
                        <w:trPr>
                          <w:trHeight w:val="189"/>
                        </w:trPr>
                        <w:tc>
                          <w:tcPr>
                            <w:tcW w:w="3838"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F7AF3" w14:textId="77777777" w:rsidR="00A87AB3" w:rsidRPr="00AD05CC" w:rsidRDefault="00A87AB3" w:rsidP="00256489">
                            <w:pPr>
                              <w:spacing w:after="0" w:line="240" w:lineRule="auto"/>
                              <w:jc w:val="right"/>
                              <w:rPr>
                                <w:rFonts w:eastAsia="Times New Roman" w:cs="Arial"/>
                                <w:bCs/>
                                <w:sz w:val="16"/>
                                <w:lang w:eastAsia="en-GB"/>
                              </w:rPr>
                            </w:pPr>
                            <w:r w:rsidRPr="00AD05CC">
                              <w:rPr>
                                <w:rFonts w:eastAsia="Times New Roman" w:cs="Arial"/>
                                <w:bCs/>
                                <w:sz w:val="16"/>
                                <w:lang w:eastAsia="en-GB"/>
                              </w:rPr>
                              <w:t>FMO’s share of the final balance (85%)</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89C8F60" w14:textId="6AFB21AD" w:rsidR="00A87AB3" w:rsidRPr="00AD05CC" w:rsidRDefault="00A87AB3" w:rsidP="007A1507">
                            <w:pPr>
                              <w:spacing w:after="0" w:line="240" w:lineRule="auto"/>
                              <w:jc w:val="right"/>
                              <w:rPr>
                                <w:rFonts w:eastAsia="Times New Roman" w:cs="Arial"/>
                                <w:sz w:val="16"/>
                                <w:lang w:eastAsia="en-GB"/>
                              </w:rPr>
                            </w:pPr>
                            <w:r>
                              <w:rPr>
                                <w:rFonts w:eastAsia="Times New Roman" w:cs="Arial"/>
                                <w:sz w:val="16"/>
                                <w:lang w:eastAsia="en-GB"/>
                              </w:rPr>
                              <w:t xml:space="preserve"> </w:t>
                            </w: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169</w:t>
                            </w:r>
                            <w:r>
                              <w:rPr>
                                <w:rFonts w:eastAsia="Times New Roman" w:cs="Arial"/>
                                <w:sz w:val="16"/>
                                <w:lang w:eastAsia="en-GB"/>
                              </w:rPr>
                              <w:t>,</w:t>
                            </w:r>
                            <w:r w:rsidRPr="00AD05CC">
                              <w:rPr>
                                <w:rFonts w:eastAsia="Times New Roman" w:cs="Arial"/>
                                <w:sz w:val="16"/>
                                <w:lang w:eastAsia="en-GB"/>
                              </w:rPr>
                              <w:t xml:space="preserve">575 </w:t>
                            </w:r>
                          </w:p>
                        </w:tc>
                      </w:tr>
                      <w:tr w:rsidR="00A87AB3" w:rsidRPr="00AD05CC" w14:paraId="48F3B3A3" w14:textId="77777777" w:rsidTr="00256489">
                        <w:trPr>
                          <w:trHeight w:val="189"/>
                        </w:trPr>
                        <w:tc>
                          <w:tcPr>
                            <w:tcW w:w="581" w:type="pct"/>
                            <w:tcBorders>
                              <w:top w:val="nil"/>
                              <w:left w:val="nil"/>
                              <w:bottom w:val="nil"/>
                              <w:right w:val="nil"/>
                            </w:tcBorders>
                            <w:shd w:val="clear" w:color="auto" w:fill="auto"/>
                            <w:noWrap/>
                            <w:vAlign w:val="center"/>
                            <w:hideMark/>
                          </w:tcPr>
                          <w:p w14:paraId="153B5646" w14:textId="77777777" w:rsidR="00A87AB3" w:rsidRPr="00AD05CC" w:rsidRDefault="00A87AB3" w:rsidP="00256489">
                            <w:pPr>
                              <w:spacing w:after="0" w:line="240" w:lineRule="auto"/>
                              <w:jc w:val="right"/>
                              <w:rPr>
                                <w:rFonts w:eastAsia="Times New Roman" w:cs="Arial"/>
                                <w:sz w:val="16"/>
                                <w:lang w:eastAsia="en-GB"/>
                              </w:rPr>
                            </w:pPr>
                          </w:p>
                        </w:tc>
                        <w:tc>
                          <w:tcPr>
                            <w:tcW w:w="581" w:type="pct"/>
                            <w:tcBorders>
                              <w:top w:val="nil"/>
                              <w:left w:val="nil"/>
                              <w:bottom w:val="nil"/>
                              <w:right w:val="nil"/>
                            </w:tcBorders>
                            <w:shd w:val="clear" w:color="auto" w:fill="auto"/>
                            <w:noWrap/>
                            <w:vAlign w:val="bottom"/>
                            <w:hideMark/>
                          </w:tcPr>
                          <w:p w14:paraId="206967F0" w14:textId="77777777" w:rsidR="00A87AB3" w:rsidRPr="00AD05CC" w:rsidRDefault="00A87AB3" w:rsidP="00256489">
                            <w:pPr>
                              <w:spacing w:after="0" w:line="240" w:lineRule="auto"/>
                              <w:ind w:firstLineChars="100" w:firstLine="160"/>
                              <w:jc w:val="right"/>
                              <w:rPr>
                                <w:rFonts w:eastAsia="Times New Roman" w:cs="Times New Roman"/>
                                <w:sz w:val="16"/>
                                <w:lang w:eastAsia="en-GB"/>
                              </w:rPr>
                            </w:pPr>
                          </w:p>
                        </w:tc>
                        <w:tc>
                          <w:tcPr>
                            <w:tcW w:w="581" w:type="pct"/>
                            <w:tcBorders>
                              <w:top w:val="nil"/>
                              <w:left w:val="nil"/>
                              <w:bottom w:val="nil"/>
                              <w:right w:val="nil"/>
                            </w:tcBorders>
                            <w:shd w:val="clear" w:color="auto" w:fill="auto"/>
                            <w:noWrap/>
                            <w:vAlign w:val="bottom"/>
                            <w:hideMark/>
                          </w:tcPr>
                          <w:p w14:paraId="06C537FC" w14:textId="77777777" w:rsidR="00A87AB3" w:rsidRPr="00AD05CC" w:rsidRDefault="00A87AB3" w:rsidP="00256489">
                            <w:pPr>
                              <w:spacing w:after="0" w:line="240" w:lineRule="auto"/>
                              <w:rPr>
                                <w:rFonts w:eastAsia="Times New Roman" w:cs="Times New Roman"/>
                                <w:sz w:val="16"/>
                                <w:lang w:eastAsia="en-GB"/>
                              </w:rPr>
                            </w:pPr>
                          </w:p>
                        </w:tc>
                        <w:tc>
                          <w:tcPr>
                            <w:tcW w:w="2095" w:type="pct"/>
                            <w:tcBorders>
                              <w:top w:val="nil"/>
                              <w:left w:val="nil"/>
                              <w:bottom w:val="nil"/>
                              <w:right w:val="nil"/>
                            </w:tcBorders>
                            <w:shd w:val="clear" w:color="auto" w:fill="auto"/>
                            <w:noWrap/>
                            <w:vAlign w:val="bottom"/>
                            <w:hideMark/>
                          </w:tcPr>
                          <w:p w14:paraId="57017133" w14:textId="77777777" w:rsidR="00A87AB3" w:rsidRPr="00AD05CC" w:rsidRDefault="00A87AB3" w:rsidP="00256489">
                            <w:pPr>
                              <w:spacing w:after="0" w:line="240" w:lineRule="auto"/>
                              <w:rPr>
                                <w:rFonts w:eastAsia="Times New Roman" w:cs="Times New Roman"/>
                                <w:sz w:val="16"/>
                                <w:lang w:eastAsia="en-GB"/>
                              </w:rPr>
                            </w:pPr>
                          </w:p>
                        </w:tc>
                        <w:tc>
                          <w:tcPr>
                            <w:tcW w:w="581" w:type="pct"/>
                            <w:tcBorders>
                              <w:top w:val="nil"/>
                              <w:left w:val="nil"/>
                              <w:bottom w:val="nil"/>
                              <w:right w:val="nil"/>
                            </w:tcBorders>
                            <w:shd w:val="clear" w:color="auto" w:fill="auto"/>
                            <w:noWrap/>
                            <w:vAlign w:val="bottom"/>
                            <w:hideMark/>
                          </w:tcPr>
                          <w:p w14:paraId="6D608346" w14:textId="77777777" w:rsidR="00A87AB3" w:rsidRPr="00AD05CC" w:rsidRDefault="00A87AB3" w:rsidP="00256489">
                            <w:pPr>
                              <w:spacing w:after="0" w:line="240" w:lineRule="auto"/>
                              <w:rPr>
                                <w:rFonts w:eastAsia="Times New Roman" w:cs="Times New Roman"/>
                                <w:sz w:val="16"/>
                                <w:lang w:eastAsia="en-GB"/>
                              </w:rPr>
                            </w:pPr>
                          </w:p>
                        </w:tc>
                        <w:tc>
                          <w:tcPr>
                            <w:tcW w:w="581" w:type="pct"/>
                            <w:tcBorders>
                              <w:top w:val="nil"/>
                              <w:left w:val="nil"/>
                              <w:bottom w:val="nil"/>
                              <w:right w:val="nil"/>
                            </w:tcBorders>
                            <w:shd w:val="clear" w:color="auto" w:fill="auto"/>
                            <w:noWrap/>
                            <w:vAlign w:val="bottom"/>
                            <w:hideMark/>
                          </w:tcPr>
                          <w:p w14:paraId="2A98F4CA" w14:textId="77777777" w:rsidR="00A87AB3" w:rsidRPr="00AD05CC" w:rsidRDefault="00A87AB3" w:rsidP="00256489">
                            <w:pPr>
                              <w:spacing w:after="0" w:line="240" w:lineRule="auto"/>
                              <w:rPr>
                                <w:rFonts w:eastAsia="Times New Roman" w:cs="Times New Roman"/>
                                <w:sz w:val="16"/>
                                <w:lang w:eastAsia="en-GB"/>
                              </w:rPr>
                            </w:pPr>
                          </w:p>
                        </w:tc>
                      </w:tr>
                      <w:tr w:rsidR="00A87AB3" w:rsidRPr="00AD05CC" w14:paraId="196E698A" w14:textId="77777777" w:rsidTr="00256489">
                        <w:trPr>
                          <w:trHeight w:val="189"/>
                        </w:trPr>
                        <w:tc>
                          <w:tcPr>
                            <w:tcW w:w="3838" w:type="pct"/>
                            <w:gridSpan w:val="4"/>
                            <w:tcBorders>
                              <w:top w:val="nil"/>
                              <w:left w:val="nil"/>
                              <w:bottom w:val="nil"/>
                              <w:right w:val="single" w:sz="4" w:space="0" w:color="000000"/>
                            </w:tcBorders>
                            <w:shd w:val="clear" w:color="auto" w:fill="auto"/>
                            <w:noWrap/>
                            <w:vAlign w:val="center"/>
                            <w:hideMark/>
                          </w:tcPr>
                          <w:p w14:paraId="483F4E47" w14:textId="77777777" w:rsidR="00A87AB3" w:rsidRPr="00AD05CC" w:rsidRDefault="00A87AB3" w:rsidP="00284FB3">
                            <w:pPr>
                              <w:spacing w:after="0" w:line="240" w:lineRule="auto"/>
                              <w:jc w:val="right"/>
                              <w:rPr>
                                <w:rFonts w:eastAsia="Times New Roman" w:cs="Arial"/>
                                <w:bCs/>
                                <w:sz w:val="16"/>
                                <w:lang w:eastAsia="en-GB"/>
                              </w:rPr>
                            </w:pPr>
                            <w:r w:rsidRPr="00AD05CC">
                              <w:rPr>
                                <w:rFonts w:eastAsia="Times New Roman" w:cs="Arial"/>
                                <w:bCs/>
                                <w:sz w:val="16"/>
                                <w:lang w:eastAsia="en-GB"/>
                              </w:rPr>
                              <w:t>Final balance payable to the PO</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3FAAE05F" w14:textId="3F47CCE7" w:rsidR="00A87AB3" w:rsidRPr="00AD05CC" w:rsidRDefault="00A87AB3" w:rsidP="007A1507">
                            <w:pPr>
                              <w:spacing w:after="0" w:line="240" w:lineRule="auto"/>
                              <w:jc w:val="right"/>
                              <w:rPr>
                                <w:rFonts w:eastAsia="Times New Roman" w:cs="Arial"/>
                                <w:sz w:val="16"/>
                                <w:lang w:eastAsia="en-GB"/>
                              </w:rPr>
                            </w:pPr>
                            <w:r>
                              <w:rPr>
                                <w:rFonts w:eastAsia="Times New Roman" w:cs="Arial"/>
                                <w:sz w:val="16"/>
                                <w:lang w:eastAsia="en-GB"/>
                              </w:rPr>
                              <w:t xml:space="preserve"> </w:t>
                            </w:r>
                            <w:r w:rsidRPr="00AD05CC">
                              <w:rPr>
                                <w:rFonts w:eastAsia="Times New Roman" w:cs="Arial"/>
                                <w:sz w:val="16"/>
                                <w:lang w:eastAsia="en-GB"/>
                              </w:rPr>
                              <w:t xml:space="preserve">               </w:t>
                            </w:r>
                            <w:r>
                              <w:rPr>
                                <w:rFonts w:eastAsia="Times New Roman" w:cs="Arial"/>
                                <w:sz w:val="16"/>
                                <w:lang w:eastAsia="en-GB"/>
                              </w:rPr>
                              <w:t xml:space="preserve">€ </w:t>
                            </w:r>
                            <w:r w:rsidRPr="00AD05CC">
                              <w:rPr>
                                <w:rFonts w:eastAsia="Times New Roman" w:cs="Arial"/>
                                <w:sz w:val="16"/>
                                <w:lang w:eastAsia="en-GB"/>
                              </w:rPr>
                              <w:t>199</w:t>
                            </w:r>
                            <w:r>
                              <w:rPr>
                                <w:rFonts w:eastAsia="Times New Roman" w:cs="Arial"/>
                                <w:sz w:val="16"/>
                                <w:lang w:eastAsia="en-GB"/>
                              </w:rPr>
                              <w:t>,</w:t>
                            </w:r>
                            <w:r w:rsidRPr="00AD05CC">
                              <w:rPr>
                                <w:rFonts w:eastAsia="Times New Roman" w:cs="Arial"/>
                                <w:sz w:val="16"/>
                                <w:lang w:eastAsia="en-GB"/>
                              </w:rPr>
                              <w:t xml:space="preserve">500 </w:t>
                            </w:r>
                          </w:p>
                        </w:tc>
                      </w:tr>
                      <w:tr w:rsidR="00A87AB3" w:rsidRPr="00AD05CC" w14:paraId="7A0D2716" w14:textId="77777777" w:rsidTr="00256489">
                        <w:trPr>
                          <w:trHeight w:val="189"/>
                        </w:trPr>
                        <w:tc>
                          <w:tcPr>
                            <w:tcW w:w="581" w:type="pct"/>
                            <w:tcBorders>
                              <w:top w:val="nil"/>
                              <w:left w:val="nil"/>
                              <w:bottom w:val="nil"/>
                              <w:right w:val="nil"/>
                            </w:tcBorders>
                            <w:shd w:val="clear" w:color="auto" w:fill="auto"/>
                            <w:vAlign w:val="center"/>
                            <w:hideMark/>
                          </w:tcPr>
                          <w:p w14:paraId="3BD3A27C" w14:textId="77777777" w:rsidR="00A87AB3" w:rsidRPr="00AD05CC" w:rsidRDefault="00A87AB3" w:rsidP="00256489">
                            <w:pPr>
                              <w:spacing w:after="0" w:line="240" w:lineRule="auto"/>
                              <w:jc w:val="right"/>
                              <w:rPr>
                                <w:rFonts w:eastAsia="Times New Roman" w:cs="Arial"/>
                                <w:sz w:val="16"/>
                                <w:lang w:eastAsia="en-GB"/>
                              </w:rPr>
                            </w:pPr>
                          </w:p>
                        </w:tc>
                        <w:tc>
                          <w:tcPr>
                            <w:tcW w:w="581" w:type="pct"/>
                            <w:tcBorders>
                              <w:top w:val="nil"/>
                              <w:left w:val="nil"/>
                              <w:bottom w:val="nil"/>
                              <w:right w:val="nil"/>
                            </w:tcBorders>
                            <w:shd w:val="clear" w:color="auto" w:fill="auto"/>
                            <w:vAlign w:val="center"/>
                            <w:hideMark/>
                          </w:tcPr>
                          <w:p w14:paraId="410D303C" w14:textId="77777777" w:rsidR="00A87AB3" w:rsidRPr="00AD05CC" w:rsidRDefault="00A87AB3" w:rsidP="00256489">
                            <w:pPr>
                              <w:spacing w:after="0" w:line="240" w:lineRule="auto"/>
                              <w:jc w:val="right"/>
                              <w:rPr>
                                <w:rFonts w:eastAsia="Times New Roman" w:cs="Times New Roman"/>
                                <w:sz w:val="16"/>
                                <w:lang w:eastAsia="en-GB"/>
                              </w:rPr>
                            </w:pPr>
                          </w:p>
                        </w:tc>
                        <w:tc>
                          <w:tcPr>
                            <w:tcW w:w="581" w:type="pct"/>
                            <w:tcBorders>
                              <w:top w:val="nil"/>
                              <w:left w:val="nil"/>
                              <w:bottom w:val="nil"/>
                              <w:right w:val="nil"/>
                            </w:tcBorders>
                            <w:shd w:val="clear" w:color="auto" w:fill="auto"/>
                            <w:vAlign w:val="center"/>
                            <w:hideMark/>
                          </w:tcPr>
                          <w:p w14:paraId="320048B0" w14:textId="77777777" w:rsidR="00A87AB3" w:rsidRPr="00AD05CC" w:rsidRDefault="00A87AB3" w:rsidP="00256489">
                            <w:pPr>
                              <w:spacing w:after="0" w:line="240" w:lineRule="auto"/>
                              <w:jc w:val="center"/>
                              <w:rPr>
                                <w:rFonts w:eastAsia="Times New Roman" w:cs="Times New Roman"/>
                                <w:sz w:val="16"/>
                                <w:lang w:eastAsia="en-GB"/>
                              </w:rPr>
                            </w:pPr>
                          </w:p>
                        </w:tc>
                        <w:tc>
                          <w:tcPr>
                            <w:tcW w:w="2095" w:type="pct"/>
                            <w:tcBorders>
                              <w:top w:val="nil"/>
                              <w:left w:val="nil"/>
                              <w:bottom w:val="nil"/>
                              <w:right w:val="nil"/>
                            </w:tcBorders>
                            <w:shd w:val="clear" w:color="auto" w:fill="auto"/>
                            <w:vAlign w:val="bottom"/>
                            <w:hideMark/>
                          </w:tcPr>
                          <w:p w14:paraId="4FF14813" w14:textId="77777777" w:rsidR="00A87AB3" w:rsidRPr="00AD05CC" w:rsidRDefault="00A87AB3" w:rsidP="00256489">
                            <w:pPr>
                              <w:spacing w:after="0" w:line="240" w:lineRule="auto"/>
                              <w:jc w:val="center"/>
                              <w:rPr>
                                <w:rFonts w:eastAsia="Times New Roman" w:cs="Times New Roman"/>
                                <w:sz w:val="16"/>
                                <w:lang w:eastAsia="en-GB"/>
                              </w:rPr>
                            </w:pPr>
                          </w:p>
                        </w:tc>
                        <w:tc>
                          <w:tcPr>
                            <w:tcW w:w="581" w:type="pct"/>
                            <w:tcBorders>
                              <w:top w:val="nil"/>
                              <w:left w:val="nil"/>
                              <w:bottom w:val="nil"/>
                              <w:right w:val="nil"/>
                            </w:tcBorders>
                            <w:shd w:val="clear" w:color="auto" w:fill="auto"/>
                            <w:vAlign w:val="bottom"/>
                            <w:hideMark/>
                          </w:tcPr>
                          <w:p w14:paraId="7666ED52" w14:textId="77777777" w:rsidR="00A87AB3" w:rsidRPr="00AD05CC" w:rsidRDefault="00A87AB3" w:rsidP="00256489">
                            <w:pPr>
                              <w:spacing w:after="0" w:line="240" w:lineRule="auto"/>
                              <w:rPr>
                                <w:rFonts w:eastAsia="Times New Roman" w:cs="Times New Roman"/>
                                <w:sz w:val="16"/>
                                <w:lang w:eastAsia="en-GB"/>
                              </w:rPr>
                            </w:pPr>
                          </w:p>
                        </w:tc>
                        <w:tc>
                          <w:tcPr>
                            <w:tcW w:w="581" w:type="pct"/>
                            <w:tcBorders>
                              <w:top w:val="nil"/>
                              <w:left w:val="nil"/>
                              <w:bottom w:val="nil"/>
                              <w:right w:val="nil"/>
                            </w:tcBorders>
                            <w:shd w:val="clear" w:color="auto" w:fill="auto"/>
                            <w:noWrap/>
                            <w:vAlign w:val="bottom"/>
                            <w:hideMark/>
                          </w:tcPr>
                          <w:p w14:paraId="65AB5C9F" w14:textId="77777777" w:rsidR="00A87AB3" w:rsidRPr="00AD05CC" w:rsidRDefault="00A87AB3" w:rsidP="00256489">
                            <w:pPr>
                              <w:spacing w:after="0" w:line="240" w:lineRule="auto"/>
                              <w:rPr>
                                <w:rFonts w:eastAsia="Times New Roman" w:cs="Times New Roman"/>
                                <w:sz w:val="16"/>
                                <w:lang w:eastAsia="en-GB"/>
                              </w:rPr>
                            </w:pPr>
                          </w:p>
                        </w:tc>
                      </w:tr>
                      <w:tr w:rsidR="00A87AB3" w:rsidRPr="00AD05CC" w14:paraId="180B2FDA" w14:textId="77777777" w:rsidTr="00256489">
                        <w:trPr>
                          <w:trHeight w:val="189"/>
                        </w:trPr>
                        <w:tc>
                          <w:tcPr>
                            <w:tcW w:w="3838" w:type="pct"/>
                            <w:gridSpan w:val="4"/>
                            <w:tcBorders>
                              <w:top w:val="nil"/>
                              <w:left w:val="nil"/>
                              <w:bottom w:val="nil"/>
                              <w:right w:val="single" w:sz="4" w:space="0" w:color="000000"/>
                            </w:tcBorders>
                            <w:shd w:val="clear" w:color="auto" w:fill="auto"/>
                            <w:noWrap/>
                            <w:vAlign w:val="center"/>
                            <w:hideMark/>
                          </w:tcPr>
                          <w:p w14:paraId="65A16356" w14:textId="77777777" w:rsidR="00A87AB3" w:rsidRPr="00AD05CC" w:rsidRDefault="00A87AB3" w:rsidP="00256489">
                            <w:pPr>
                              <w:spacing w:after="0" w:line="240" w:lineRule="auto"/>
                              <w:jc w:val="right"/>
                              <w:rPr>
                                <w:rFonts w:eastAsia="Times New Roman" w:cs="Arial"/>
                                <w:bCs/>
                                <w:sz w:val="16"/>
                                <w:lang w:eastAsia="en-GB"/>
                              </w:rPr>
                            </w:pPr>
                            <w:r w:rsidRPr="00AD05CC">
                              <w:rPr>
                                <w:rFonts w:eastAsia="Times New Roman" w:cs="Arial"/>
                                <w:bCs/>
                                <w:sz w:val="16"/>
                                <w:lang w:eastAsia="en-GB"/>
                              </w:rPr>
                              <w:t>Final balance payable to the FMC / NMFA</w:t>
                            </w:r>
                          </w:p>
                        </w:tc>
                        <w:tc>
                          <w:tcPr>
                            <w:tcW w:w="116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B6CCD41" w14:textId="0F68D520" w:rsidR="00A87AB3" w:rsidRPr="00AD05CC" w:rsidRDefault="00A87AB3" w:rsidP="00256489">
                            <w:pPr>
                              <w:spacing w:after="0" w:line="240" w:lineRule="auto"/>
                              <w:jc w:val="right"/>
                              <w:rPr>
                                <w:rFonts w:eastAsia="Times New Roman" w:cs="Arial"/>
                                <w:sz w:val="16"/>
                                <w:lang w:eastAsia="en-GB"/>
                              </w:rPr>
                            </w:pPr>
                            <w:r w:rsidRPr="00AD05CC">
                              <w:rPr>
                                <w:rFonts w:eastAsia="Times New Roman" w:cs="Arial"/>
                                <w:sz w:val="16"/>
                                <w:lang w:eastAsia="en-GB"/>
                              </w:rPr>
                              <w:t xml:space="preserve">-   </w:t>
                            </w:r>
                          </w:p>
                        </w:tc>
                      </w:tr>
                    </w:tbl>
                    <w:p w14:paraId="00376DC7" w14:textId="77777777" w:rsidR="00A87AB3" w:rsidRPr="00AD05CC" w:rsidRDefault="00A87AB3"/>
                  </w:txbxContent>
                </v:textbox>
                <w10:wrap type="topAndBottom" anchorx="margin"/>
              </v:shape>
            </w:pict>
          </mc:Fallback>
        </mc:AlternateContent>
      </w:r>
      <w:r w:rsidR="005D0B75" w:rsidRPr="009B7F14">
        <w:t xml:space="preserve">A statement of actual expenditure incurred for the last reporting period will also be a part of the final balance report. This section will follow the standard format of the same section of the </w:t>
      </w:r>
      <w:r w:rsidR="007A1507">
        <w:t>IFR</w:t>
      </w:r>
      <w:r w:rsidR="005D0B75" w:rsidRPr="009B7F14">
        <w:t>.</w:t>
      </w:r>
    </w:p>
    <w:p w14:paraId="191D5267" w14:textId="77777777" w:rsidR="00477DB3" w:rsidRPr="009B7F14" w:rsidRDefault="0031680F" w:rsidP="00920571">
      <w:pPr>
        <w:pStyle w:val="Heading2"/>
      </w:pPr>
      <w:bookmarkStart w:id="79" w:name="_Toc484174855"/>
      <w:r w:rsidRPr="009B7F14">
        <w:t>Closure declaration</w:t>
      </w:r>
      <w:r w:rsidR="00FC63B8" w:rsidRPr="009B7F14">
        <w:t xml:space="preserve"> (Reg. Art 5.5.1 (f))</w:t>
      </w:r>
      <w:bookmarkEnd w:id="79"/>
    </w:p>
    <w:p w14:paraId="14EEF48A" w14:textId="740BDF02" w:rsidR="00477DB3" w:rsidRDefault="00477DB3" w:rsidP="00376576">
      <w:r w:rsidRPr="009B7F14">
        <w:t xml:space="preserve">The </w:t>
      </w:r>
      <w:r w:rsidR="00EF3B6D">
        <w:t>closure d</w:t>
      </w:r>
      <w:r w:rsidRPr="009B7F14">
        <w:t xml:space="preserve">eclaration together with a final audit report shall be submitted to the FMO by the </w:t>
      </w:r>
      <w:r w:rsidR="004137F1" w:rsidRPr="009B7F14">
        <w:t>AA</w:t>
      </w:r>
      <w:r w:rsidRPr="009B7F14">
        <w:t xml:space="preserve"> at the latest by 31 December 2025. The closure declaration shall support the final audit report and will assess the validity of the application for payment of the final balance claimed </w:t>
      </w:r>
      <w:r w:rsidR="00A406A4">
        <w:t xml:space="preserve">in the </w:t>
      </w:r>
      <w:r w:rsidR="007A1507">
        <w:t>FPR</w:t>
      </w:r>
      <w:r w:rsidR="00A406A4">
        <w:t>.</w:t>
      </w:r>
    </w:p>
    <w:p w14:paraId="2E2811AC" w14:textId="77777777" w:rsidR="00A406A4" w:rsidRDefault="00A406A4">
      <w:pPr>
        <w:spacing w:before="0" w:after="160"/>
        <w:jc w:val="left"/>
      </w:pPr>
      <w:r>
        <w:br w:type="page"/>
      </w:r>
    </w:p>
    <w:p w14:paraId="523ACE85" w14:textId="77777777" w:rsidR="00497B9D" w:rsidRPr="009B7F14" w:rsidRDefault="00497B9D" w:rsidP="00177429">
      <w:pPr>
        <w:pStyle w:val="Heading1"/>
      </w:pPr>
      <w:bookmarkStart w:id="80" w:name="_Toc484174856"/>
      <w:r w:rsidRPr="009B7F14">
        <w:t>Annexes</w:t>
      </w:r>
      <w:bookmarkEnd w:id="80"/>
    </w:p>
    <w:p w14:paraId="3511B8C2" w14:textId="0247037F" w:rsidR="00A003B3" w:rsidRDefault="0061777D" w:rsidP="00920571">
      <w:pPr>
        <w:pStyle w:val="Heading2"/>
      </w:pPr>
      <w:bookmarkStart w:id="81" w:name="_Ref461616549"/>
      <w:bookmarkStart w:id="82" w:name="_Toc484174857"/>
      <w:r>
        <w:t xml:space="preserve">5.1 </w:t>
      </w:r>
      <w:r w:rsidR="009100EB">
        <w:t>T</w:t>
      </w:r>
      <w:r w:rsidR="004137F1" w:rsidRPr="009B7F14">
        <w:t>emplate for the PDP</w:t>
      </w:r>
      <w:bookmarkEnd w:id="81"/>
      <w:r w:rsidR="009100EB">
        <w:t xml:space="preserve"> cost</w:t>
      </w:r>
      <w:r w:rsidR="00550B8E">
        <w:t xml:space="preserve"> (budget)</w:t>
      </w:r>
      <w:bookmarkEnd w:id="82"/>
    </w:p>
    <w:p w14:paraId="6A2E8F03" w14:textId="5C8F9CDF" w:rsidR="00AD07E3" w:rsidRPr="00AD07E3" w:rsidRDefault="00504466" w:rsidP="00AD07E3">
      <w:r>
        <w:rPr>
          <w:noProof/>
          <w:lang w:eastAsia="en-GB"/>
        </w:rPr>
        <w:drawing>
          <wp:inline distT="0" distB="0" distL="0" distR="0" wp14:anchorId="0C820A7B" wp14:editId="71743EBD">
            <wp:extent cx="5732145" cy="7496175"/>
            <wp:effectExtent l="0" t="0" r="1905" b="952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2145" cy="7496175"/>
                    </a:xfrm>
                    <a:prstGeom prst="rect">
                      <a:avLst/>
                    </a:prstGeom>
                  </pic:spPr>
                </pic:pic>
              </a:graphicData>
            </a:graphic>
          </wp:inline>
        </w:drawing>
      </w:r>
    </w:p>
    <w:p w14:paraId="35EA1977" w14:textId="299F273C" w:rsidR="00497B9D" w:rsidRDefault="00AD07E3" w:rsidP="00504466">
      <w:pPr>
        <w:spacing w:before="0" w:after="160"/>
        <w:jc w:val="left"/>
      </w:pPr>
      <w:r>
        <w:rPr>
          <w:noProof/>
          <w:lang w:eastAsia="en-GB"/>
        </w:rPr>
        <w:br w:type="page"/>
      </w:r>
      <w:r w:rsidR="00A43045" w:rsidRPr="009B7F14">
        <w:rPr>
          <w:highlight w:val="lightGray"/>
        </w:rPr>
        <w:t xml:space="preserve"> </w:t>
      </w:r>
    </w:p>
    <w:p w14:paraId="1FDB8800" w14:textId="795DC652" w:rsidR="00EA0C8C" w:rsidRPr="00EA0C8C" w:rsidRDefault="0061777D" w:rsidP="00920571">
      <w:pPr>
        <w:pStyle w:val="Heading2"/>
      </w:pPr>
      <w:bookmarkStart w:id="83" w:name="_Toc484174858"/>
      <w:r>
        <w:t>5.2 Overview of d</w:t>
      </w:r>
      <w:r w:rsidR="00EA0C8C">
        <w:t>eadlines for eligibility of expenditure</w:t>
      </w:r>
      <w:bookmarkEnd w:id="83"/>
    </w:p>
    <w:tbl>
      <w:tblPr>
        <w:tblStyle w:val="TableGrid"/>
        <w:tblW w:w="5738" w:type="pct"/>
        <w:tblInd w:w="-714" w:type="dxa"/>
        <w:tblCellMar>
          <w:left w:w="57" w:type="dxa"/>
          <w:right w:w="57" w:type="dxa"/>
        </w:tblCellMar>
        <w:tblLook w:val="04A0" w:firstRow="1" w:lastRow="0" w:firstColumn="1" w:lastColumn="0" w:noHBand="0" w:noVBand="1"/>
      </w:tblPr>
      <w:tblGrid>
        <w:gridCol w:w="710"/>
        <w:gridCol w:w="1275"/>
        <w:gridCol w:w="1134"/>
        <w:gridCol w:w="991"/>
        <w:gridCol w:w="2128"/>
        <w:gridCol w:w="3092"/>
        <w:gridCol w:w="1018"/>
      </w:tblGrid>
      <w:tr w:rsidR="00920F5D" w:rsidRPr="00920F5D" w14:paraId="7E86120F" w14:textId="77777777" w:rsidTr="003A1AA5">
        <w:trPr>
          <w:cnfStyle w:val="100000000000" w:firstRow="1" w:lastRow="0" w:firstColumn="0" w:lastColumn="0" w:oddVBand="0" w:evenVBand="0" w:oddHBand="0" w:evenHBand="0" w:firstRowFirstColumn="0" w:firstRowLastColumn="0" w:lastRowFirstColumn="0" w:lastRowLastColumn="0"/>
          <w:trHeight w:val="308"/>
        </w:trPr>
        <w:tc>
          <w:tcPr>
            <w:tcW w:w="3014" w:type="pct"/>
            <w:gridSpan w:val="5"/>
            <w:vAlign w:val="center"/>
          </w:tcPr>
          <w:p w14:paraId="4CE62918" w14:textId="77777777" w:rsidR="00D72095" w:rsidRPr="00920F5D" w:rsidRDefault="00D72095" w:rsidP="00920F5D">
            <w:pPr>
              <w:jc w:val="center"/>
              <w:rPr>
                <w:b w:val="0"/>
                <w:sz w:val="16"/>
              </w:rPr>
            </w:pPr>
          </w:p>
          <w:p w14:paraId="34C35C81" w14:textId="77777777" w:rsidR="00D72095" w:rsidRPr="00920F5D" w:rsidRDefault="00D72095" w:rsidP="00920F5D">
            <w:pPr>
              <w:jc w:val="center"/>
              <w:rPr>
                <w:b w:val="0"/>
                <w:sz w:val="16"/>
              </w:rPr>
            </w:pPr>
            <w:r w:rsidRPr="00920F5D">
              <w:rPr>
                <w:sz w:val="16"/>
              </w:rPr>
              <w:t>Eligibility</w:t>
            </w:r>
          </w:p>
          <w:p w14:paraId="45C09216" w14:textId="77777777" w:rsidR="00D72095" w:rsidRPr="00920F5D" w:rsidRDefault="00D72095" w:rsidP="00920F5D">
            <w:pPr>
              <w:jc w:val="center"/>
              <w:rPr>
                <w:b w:val="0"/>
                <w:sz w:val="16"/>
              </w:rPr>
            </w:pPr>
          </w:p>
        </w:tc>
        <w:tc>
          <w:tcPr>
            <w:tcW w:w="1494" w:type="pct"/>
            <w:vMerge w:val="restart"/>
            <w:vAlign w:val="center"/>
          </w:tcPr>
          <w:p w14:paraId="07B12BF0" w14:textId="77777777" w:rsidR="00D72095" w:rsidRPr="00920F5D" w:rsidRDefault="00D72095" w:rsidP="00920F5D">
            <w:pPr>
              <w:jc w:val="center"/>
              <w:rPr>
                <w:b w:val="0"/>
                <w:sz w:val="16"/>
              </w:rPr>
            </w:pPr>
          </w:p>
          <w:p w14:paraId="32EF56C7" w14:textId="77777777" w:rsidR="00D72095" w:rsidRPr="00920F5D" w:rsidRDefault="00D72095" w:rsidP="00920F5D">
            <w:pPr>
              <w:jc w:val="center"/>
              <w:rPr>
                <w:b w:val="0"/>
                <w:sz w:val="16"/>
              </w:rPr>
            </w:pPr>
          </w:p>
          <w:p w14:paraId="22E0D9CD" w14:textId="77777777" w:rsidR="00D72095" w:rsidRPr="00920F5D" w:rsidRDefault="00D72095" w:rsidP="00920F5D">
            <w:pPr>
              <w:jc w:val="center"/>
              <w:rPr>
                <w:b w:val="0"/>
                <w:sz w:val="16"/>
              </w:rPr>
            </w:pPr>
            <w:r w:rsidRPr="00920F5D">
              <w:rPr>
                <w:sz w:val="16"/>
              </w:rPr>
              <w:t>Payment</w:t>
            </w:r>
          </w:p>
        </w:tc>
        <w:tc>
          <w:tcPr>
            <w:tcW w:w="492" w:type="pct"/>
            <w:vMerge w:val="restart"/>
            <w:vAlign w:val="center"/>
          </w:tcPr>
          <w:p w14:paraId="27104838" w14:textId="77777777" w:rsidR="00D72095" w:rsidRPr="00920F5D" w:rsidRDefault="00D72095" w:rsidP="00920F5D">
            <w:pPr>
              <w:jc w:val="center"/>
              <w:rPr>
                <w:b w:val="0"/>
                <w:sz w:val="16"/>
              </w:rPr>
            </w:pPr>
          </w:p>
          <w:p w14:paraId="36AF4F68" w14:textId="0AA2819C" w:rsidR="00D72095" w:rsidRPr="00920F5D" w:rsidRDefault="00D72095" w:rsidP="00920F5D">
            <w:pPr>
              <w:jc w:val="center"/>
              <w:rPr>
                <w:b w:val="0"/>
                <w:sz w:val="16"/>
              </w:rPr>
            </w:pPr>
            <w:r w:rsidRPr="00920F5D">
              <w:rPr>
                <w:sz w:val="16"/>
              </w:rPr>
              <w:t>Ref</w:t>
            </w:r>
            <w:r w:rsidR="00920F5D">
              <w:rPr>
                <w:sz w:val="16"/>
              </w:rPr>
              <w:t>.</w:t>
            </w:r>
            <w:r w:rsidRPr="00920F5D">
              <w:rPr>
                <w:sz w:val="16"/>
              </w:rPr>
              <w:t xml:space="preserve"> in Financial Guidance</w:t>
            </w:r>
          </w:p>
        </w:tc>
      </w:tr>
      <w:tr w:rsidR="00920F5D" w:rsidRPr="00920F5D" w14:paraId="39CD2BAE" w14:textId="77777777" w:rsidTr="003A1AA5">
        <w:trPr>
          <w:trHeight w:val="224"/>
        </w:trPr>
        <w:tc>
          <w:tcPr>
            <w:tcW w:w="343" w:type="pct"/>
            <w:shd w:val="clear" w:color="auto" w:fill="D9D9D9" w:themeFill="background1" w:themeFillShade="D9"/>
            <w:vAlign w:val="center"/>
          </w:tcPr>
          <w:p w14:paraId="786FBC03" w14:textId="0F068CBF" w:rsidR="00D72095" w:rsidRPr="00920F5D" w:rsidRDefault="00920F5D" w:rsidP="00920F5D">
            <w:pPr>
              <w:jc w:val="center"/>
              <w:rPr>
                <w:b/>
                <w:sz w:val="16"/>
              </w:rPr>
            </w:pPr>
            <w:r w:rsidRPr="00920F5D">
              <w:rPr>
                <w:b/>
                <w:sz w:val="16"/>
              </w:rPr>
              <w:t>Reg. Art.</w:t>
            </w:r>
          </w:p>
        </w:tc>
        <w:tc>
          <w:tcPr>
            <w:tcW w:w="616" w:type="pct"/>
            <w:shd w:val="clear" w:color="auto" w:fill="D9D9D9" w:themeFill="background1" w:themeFillShade="D9"/>
            <w:vAlign w:val="center"/>
          </w:tcPr>
          <w:p w14:paraId="718CB4F3" w14:textId="77777777" w:rsidR="00D72095" w:rsidRPr="00920F5D" w:rsidRDefault="00D72095" w:rsidP="00920F5D">
            <w:pPr>
              <w:jc w:val="center"/>
              <w:rPr>
                <w:b/>
                <w:sz w:val="16"/>
              </w:rPr>
            </w:pPr>
            <w:r w:rsidRPr="00920F5D">
              <w:rPr>
                <w:b/>
                <w:sz w:val="16"/>
              </w:rPr>
              <w:t>Expenditure</w:t>
            </w:r>
          </w:p>
        </w:tc>
        <w:tc>
          <w:tcPr>
            <w:tcW w:w="548" w:type="pct"/>
            <w:shd w:val="clear" w:color="auto" w:fill="D9D9D9" w:themeFill="background1" w:themeFillShade="D9"/>
            <w:vAlign w:val="center"/>
          </w:tcPr>
          <w:p w14:paraId="3E06C3D7" w14:textId="1C318FB8" w:rsidR="00D72095" w:rsidRPr="00920F5D" w:rsidRDefault="00920F5D" w:rsidP="00920F5D">
            <w:pPr>
              <w:jc w:val="center"/>
              <w:rPr>
                <w:b/>
                <w:sz w:val="16"/>
              </w:rPr>
            </w:pPr>
            <w:r>
              <w:rPr>
                <w:b/>
                <w:sz w:val="16"/>
              </w:rPr>
              <w:t>Start</w:t>
            </w:r>
            <w:r w:rsidR="00D72095" w:rsidRPr="00920F5D">
              <w:rPr>
                <w:b/>
                <w:sz w:val="16"/>
              </w:rPr>
              <w:t xml:space="preserve"> date</w:t>
            </w:r>
          </w:p>
        </w:tc>
        <w:tc>
          <w:tcPr>
            <w:tcW w:w="479" w:type="pct"/>
            <w:shd w:val="clear" w:color="auto" w:fill="D9D9D9" w:themeFill="background1" w:themeFillShade="D9"/>
            <w:vAlign w:val="center"/>
          </w:tcPr>
          <w:p w14:paraId="2493E8CC" w14:textId="77777777" w:rsidR="00D72095" w:rsidRPr="00920F5D" w:rsidRDefault="00D72095" w:rsidP="00920F5D">
            <w:pPr>
              <w:jc w:val="center"/>
              <w:rPr>
                <w:b/>
                <w:sz w:val="16"/>
              </w:rPr>
            </w:pPr>
            <w:r w:rsidRPr="00920F5D">
              <w:rPr>
                <w:b/>
                <w:sz w:val="16"/>
              </w:rPr>
              <w:t>End date</w:t>
            </w:r>
          </w:p>
        </w:tc>
        <w:tc>
          <w:tcPr>
            <w:tcW w:w="1028" w:type="pct"/>
            <w:shd w:val="clear" w:color="auto" w:fill="D9D9D9" w:themeFill="background1" w:themeFillShade="D9"/>
            <w:vAlign w:val="center"/>
          </w:tcPr>
          <w:p w14:paraId="59569DD8" w14:textId="77777777" w:rsidR="00D72095" w:rsidRPr="00920F5D" w:rsidRDefault="00D72095" w:rsidP="00920F5D">
            <w:pPr>
              <w:jc w:val="center"/>
              <w:rPr>
                <w:b/>
                <w:sz w:val="16"/>
              </w:rPr>
            </w:pPr>
            <w:r w:rsidRPr="00920F5D">
              <w:rPr>
                <w:b/>
                <w:sz w:val="16"/>
              </w:rPr>
              <w:t>Exception/condition</w:t>
            </w:r>
          </w:p>
        </w:tc>
        <w:tc>
          <w:tcPr>
            <w:tcW w:w="1494" w:type="pct"/>
            <w:vMerge/>
          </w:tcPr>
          <w:p w14:paraId="6AF24919" w14:textId="77777777" w:rsidR="00D72095" w:rsidRPr="00920F5D" w:rsidRDefault="00D72095" w:rsidP="00920F5D">
            <w:pPr>
              <w:jc w:val="left"/>
              <w:rPr>
                <w:sz w:val="16"/>
              </w:rPr>
            </w:pPr>
          </w:p>
        </w:tc>
        <w:tc>
          <w:tcPr>
            <w:tcW w:w="492" w:type="pct"/>
            <w:vMerge/>
          </w:tcPr>
          <w:p w14:paraId="6BEB37EB" w14:textId="77777777" w:rsidR="00D72095" w:rsidRPr="00920F5D" w:rsidRDefault="00D72095" w:rsidP="00920F5D">
            <w:pPr>
              <w:jc w:val="left"/>
              <w:rPr>
                <w:sz w:val="16"/>
              </w:rPr>
            </w:pPr>
          </w:p>
        </w:tc>
      </w:tr>
      <w:tr w:rsidR="00920F5D" w:rsidRPr="00920F5D" w14:paraId="2D9944B0" w14:textId="77777777" w:rsidTr="003A1AA5">
        <w:tc>
          <w:tcPr>
            <w:tcW w:w="343" w:type="pct"/>
          </w:tcPr>
          <w:p w14:paraId="0F118F0D" w14:textId="7E6467CC" w:rsidR="00D72095" w:rsidRPr="00920F5D" w:rsidRDefault="00920F5D" w:rsidP="00920F5D">
            <w:pPr>
              <w:jc w:val="left"/>
              <w:rPr>
                <w:sz w:val="16"/>
              </w:rPr>
            </w:pPr>
            <w:r>
              <w:rPr>
                <w:sz w:val="16"/>
              </w:rPr>
              <w:t>8.11.7</w:t>
            </w:r>
          </w:p>
        </w:tc>
        <w:tc>
          <w:tcPr>
            <w:tcW w:w="616" w:type="pct"/>
          </w:tcPr>
          <w:p w14:paraId="2FA99B39" w14:textId="77777777" w:rsidR="00D72095" w:rsidRPr="00920F5D" w:rsidRDefault="00D72095" w:rsidP="00920F5D">
            <w:pPr>
              <w:jc w:val="left"/>
              <w:rPr>
                <w:sz w:val="16"/>
              </w:rPr>
            </w:pPr>
            <w:r w:rsidRPr="00920F5D">
              <w:rPr>
                <w:sz w:val="16"/>
              </w:rPr>
              <w:t>Technical assistance</w:t>
            </w:r>
          </w:p>
        </w:tc>
        <w:tc>
          <w:tcPr>
            <w:tcW w:w="548" w:type="pct"/>
          </w:tcPr>
          <w:p w14:paraId="18B4A7B6" w14:textId="77777777" w:rsidR="00D72095" w:rsidRPr="00920F5D" w:rsidRDefault="00D72095" w:rsidP="00920F5D">
            <w:pPr>
              <w:jc w:val="left"/>
              <w:rPr>
                <w:sz w:val="16"/>
              </w:rPr>
            </w:pPr>
            <w:r w:rsidRPr="00920F5D">
              <w:rPr>
                <w:sz w:val="16"/>
              </w:rPr>
              <w:t>Last MoU signature (of the last MoU)</w:t>
            </w:r>
          </w:p>
        </w:tc>
        <w:tc>
          <w:tcPr>
            <w:tcW w:w="479" w:type="pct"/>
          </w:tcPr>
          <w:p w14:paraId="6592A7F6" w14:textId="401D65C0" w:rsidR="00D72095" w:rsidRPr="00920F5D" w:rsidRDefault="00920F5D" w:rsidP="00920F5D">
            <w:pPr>
              <w:jc w:val="left"/>
              <w:rPr>
                <w:sz w:val="16"/>
              </w:rPr>
            </w:pPr>
            <w:r>
              <w:rPr>
                <w:sz w:val="16"/>
              </w:rPr>
              <w:t>31 August</w:t>
            </w:r>
            <w:r w:rsidR="00D72095" w:rsidRPr="00920F5D">
              <w:rPr>
                <w:sz w:val="16"/>
              </w:rPr>
              <w:t xml:space="preserve"> 2025</w:t>
            </w:r>
          </w:p>
        </w:tc>
        <w:tc>
          <w:tcPr>
            <w:tcW w:w="1028" w:type="pct"/>
          </w:tcPr>
          <w:p w14:paraId="46428712" w14:textId="77777777" w:rsidR="00D72095" w:rsidRPr="00920F5D" w:rsidRDefault="00D72095" w:rsidP="00920F5D">
            <w:pPr>
              <w:jc w:val="left"/>
              <w:rPr>
                <w:sz w:val="16"/>
              </w:rPr>
            </w:pPr>
            <w:r w:rsidRPr="00920F5D">
              <w:rPr>
                <w:sz w:val="16"/>
              </w:rPr>
              <w:t>Costs MoU negotiations eligible as of designation of national authority responsible for negotiations  (8.11.8), conditional on the signature of the MoU</w:t>
            </w:r>
          </w:p>
        </w:tc>
        <w:tc>
          <w:tcPr>
            <w:tcW w:w="1494" w:type="pct"/>
          </w:tcPr>
          <w:p w14:paraId="40534BB2" w14:textId="3C3B2E6A" w:rsidR="00D72095" w:rsidRPr="00920F5D" w:rsidRDefault="00D72095" w:rsidP="00920F5D">
            <w:pPr>
              <w:jc w:val="left"/>
              <w:rPr>
                <w:sz w:val="16"/>
              </w:rPr>
            </w:pPr>
            <w:r w:rsidRPr="00920F5D">
              <w:rPr>
                <w:sz w:val="16"/>
              </w:rPr>
              <w:t>Prior to disbursing first payment, FMC shall determine whether the MCSD is submitted and meets the minimum requirement (5.7.5)</w:t>
            </w:r>
          </w:p>
          <w:p w14:paraId="4847C3FA" w14:textId="77BEF8D4" w:rsidR="00D72095" w:rsidRPr="00920F5D" w:rsidRDefault="003A1AA5" w:rsidP="00920F5D">
            <w:pPr>
              <w:jc w:val="left"/>
              <w:rPr>
                <w:color w:val="FF0000"/>
                <w:sz w:val="16"/>
              </w:rPr>
            </w:pPr>
            <w:r w:rsidRPr="003A1AA5">
              <w:rPr>
                <w:sz w:val="16"/>
              </w:rPr>
              <w:t>Payment is also conditional on signature of the TA agreement.</w:t>
            </w:r>
          </w:p>
        </w:tc>
        <w:tc>
          <w:tcPr>
            <w:tcW w:w="492" w:type="pct"/>
          </w:tcPr>
          <w:p w14:paraId="04362E42" w14:textId="05EF8650" w:rsidR="00D72095" w:rsidRPr="00920F5D" w:rsidRDefault="00CA1389" w:rsidP="00920F5D">
            <w:pPr>
              <w:jc w:val="left"/>
              <w:rPr>
                <w:sz w:val="16"/>
              </w:rPr>
            </w:pPr>
            <w:r>
              <w:rPr>
                <w:sz w:val="16"/>
              </w:rPr>
              <w:fldChar w:fldCharType="begin"/>
            </w:r>
            <w:r>
              <w:rPr>
                <w:sz w:val="16"/>
              </w:rPr>
              <w:instrText xml:space="preserve"> REF _Ref465347249 \r \h </w:instrText>
            </w:r>
            <w:r>
              <w:rPr>
                <w:sz w:val="16"/>
              </w:rPr>
            </w:r>
            <w:r>
              <w:rPr>
                <w:sz w:val="16"/>
              </w:rPr>
              <w:fldChar w:fldCharType="separate"/>
            </w:r>
            <w:r w:rsidR="00215E29">
              <w:rPr>
                <w:sz w:val="16"/>
              </w:rPr>
              <w:t>2.3</w:t>
            </w:r>
            <w:r>
              <w:rPr>
                <w:sz w:val="16"/>
              </w:rPr>
              <w:fldChar w:fldCharType="end"/>
            </w:r>
          </w:p>
        </w:tc>
      </w:tr>
      <w:tr w:rsidR="00920F5D" w:rsidRPr="00920F5D" w14:paraId="291246D7" w14:textId="77777777" w:rsidTr="003A1AA5">
        <w:tc>
          <w:tcPr>
            <w:tcW w:w="343" w:type="pct"/>
          </w:tcPr>
          <w:p w14:paraId="6BECDBF1" w14:textId="77777777" w:rsidR="00D72095" w:rsidRPr="00920F5D" w:rsidRDefault="00D72095" w:rsidP="00920F5D">
            <w:pPr>
              <w:jc w:val="left"/>
              <w:rPr>
                <w:sz w:val="16"/>
              </w:rPr>
            </w:pPr>
            <w:r w:rsidRPr="00920F5D">
              <w:rPr>
                <w:sz w:val="16"/>
              </w:rPr>
              <w:t>4.6.2</w:t>
            </w:r>
          </w:p>
        </w:tc>
        <w:tc>
          <w:tcPr>
            <w:tcW w:w="616" w:type="pct"/>
          </w:tcPr>
          <w:p w14:paraId="78BE9BBE" w14:textId="77777777" w:rsidR="00D72095" w:rsidRPr="00920F5D" w:rsidRDefault="00D72095" w:rsidP="00920F5D">
            <w:pPr>
              <w:jc w:val="left"/>
              <w:rPr>
                <w:sz w:val="16"/>
              </w:rPr>
            </w:pPr>
            <w:r w:rsidRPr="00920F5D">
              <w:rPr>
                <w:sz w:val="16"/>
              </w:rPr>
              <w:t>Bilateral fund</w:t>
            </w:r>
          </w:p>
        </w:tc>
        <w:tc>
          <w:tcPr>
            <w:tcW w:w="548" w:type="pct"/>
          </w:tcPr>
          <w:p w14:paraId="4369B724" w14:textId="77777777" w:rsidR="00D72095" w:rsidRPr="00920F5D" w:rsidRDefault="00D72095" w:rsidP="00920F5D">
            <w:pPr>
              <w:jc w:val="left"/>
              <w:rPr>
                <w:sz w:val="16"/>
              </w:rPr>
            </w:pPr>
            <w:r w:rsidRPr="00920F5D">
              <w:rPr>
                <w:sz w:val="16"/>
              </w:rPr>
              <w:t>Last MoU signature (whichever is signed first)</w:t>
            </w:r>
          </w:p>
        </w:tc>
        <w:tc>
          <w:tcPr>
            <w:tcW w:w="479" w:type="pct"/>
          </w:tcPr>
          <w:p w14:paraId="49A3C84E" w14:textId="746775C1" w:rsidR="00D72095" w:rsidRPr="00920F5D" w:rsidRDefault="00920F5D" w:rsidP="00920F5D">
            <w:pPr>
              <w:jc w:val="left"/>
              <w:rPr>
                <w:sz w:val="16"/>
              </w:rPr>
            </w:pPr>
            <w:r>
              <w:rPr>
                <w:sz w:val="16"/>
              </w:rPr>
              <w:t xml:space="preserve">30 April </w:t>
            </w:r>
            <w:r w:rsidR="00D72095" w:rsidRPr="00920F5D">
              <w:rPr>
                <w:sz w:val="16"/>
              </w:rPr>
              <w:t>2025</w:t>
            </w:r>
          </w:p>
        </w:tc>
        <w:tc>
          <w:tcPr>
            <w:tcW w:w="1028" w:type="pct"/>
          </w:tcPr>
          <w:p w14:paraId="2B482537" w14:textId="344F10C0" w:rsidR="00D72095" w:rsidRPr="00920F5D" w:rsidRDefault="00D72095" w:rsidP="00920F5D">
            <w:pPr>
              <w:jc w:val="left"/>
              <w:rPr>
                <w:sz w:val="16"/>
              </w:rPr>
            </w:pPr>
          </w:p>
        </w:tc>
        <w:tc>
          <w:tcPr>
            <w:tcW w:w="1494" w:type="pct"/>
          </w:tcPr>
          <w:p w14:paraId="698C9C1E" w14:textId="0691C9FD" w:rsidR="00D72095" w:rsidRPr="00920F5D" w:rsidRDefault="00D72095" w:rsidP="00920F5D">
            <w:pPr>
              <w:jc w:val="left"/>
              <w:rPr>
                <w:sz w:val="16"/>
              </w:rPr>
            </w:pPr>
            <w:r w:rsidRPr="00920F5D">
              <w:rPr>
                <w:sz w:val="16"/>
              </w:rPr>
              <w:t>Prior to disbursing first payment, FMC shall determine whether the MCSD is submitted and meets the minimum requirement (5.7.5)</w:t>
            </w:r>
          </w:p>
          <w:p w14:paraId="1BE3D59A" w14:textId="21FEAEFA" w:rsidR="00D72095" w:rsidRPr="00920F5D" w:rsidRDefault="00D72095" w:rsidP="00920F5D">
            <w:pPr>
              <w:jc w:val="left"/>
              <w:rPr>
                <w:sz w:val="16"/>
              </w:rPr>
            </w:pPr>
            <w:r w:rsidRPr="00920F5D">
              <w:rPr>
                <w:sz w:val="16"/>
              </w:rPr>
              <w:t>Advance payment upon signature of BFA</w:t>
            </w:r>
          </w:p>
          <w:p w14:paraId="4EFFA3EB" w14:textId="428B6BE9" w:rsidR="00D72095" w:rsidRPr="00920F5D" w:rsidRDefault="00D72095" w:rsidP="00920F5D">
            <w:pPr>
              <w:jc w:val="left"/>
              <w:rPr>
                <w:sz w:val="16"/>
              </w:rPr>
            </w:pPr>
            <w:r w:rsidRPr="00920F5D">
              <w:rPr>
                <w:sz w:val="16"/>
              </w:rPr>
              <w:t>Extraordinary advance payment prior to signature</w:t>
            </w:r>
          </w:p>
          <w:p w14:paraId="7EA5FFB2" w14:textId="38A6A838" w:rsidR="00D72095" w:rsidRPr="00920F5D" w:rsidRDefault="00DF4357" w:rsidP="00920F5D">
            <w:pPr>
              <w:jc w:val="left"/>
              <w:rPr>
                <w:sz w:val="16"/>
              </w:rPr>
            </w:pPr>
            <w:r>
              <w:rPr>
                <w:sz w:val="16"/>
              </w:rPr>
              <w:t>Advance payment of €</w:t>
            </w:r>
            <w:r w:rsidR="00AB3DFE">
              <w:rPr>
                <w:sz w:val="16"/>
              </w:rPr>
              <w:t xml:space="preserve"> </w:t>
            </w:r>
            <w:r w:rsidR="00D72095" w:rsidRPr="00920F5D">
              <w:rPr>
                <w:sz w:val="16"/>
              </w:rPr>
              <w:t>50,000 directly to PO from FMO in agreement with NFP</w:t>
            </w:r>
          </w:p>
          <w:p w14:paraId="414F5E67" w14:textId="77777777" w:rsidR="00D72095" w:rsidRPr="00920F5D" w:rsidRDefault="00D72095" w:rsidP="00920F5D">
            <w:pPr>
              <w:jc w:val="left"/>
              <w:rPr>
                <w:sz w:val="16"/>
              </w:rPr>
            </w:pPr>
            <w:r w:rsidRPr="00920F5D">
              <w:rPr>
                <w:sz w:val="16"/>
              </w:rPr>
              <w:t>Direct payment to final recipient by FMO</w:t>
            </w:r>
          </w:p>
        </w:tc>
        <w:tc>
          <w:tcPr>
            <w:tcW w:w="492" w:type="pct"/>
          </w:tcPr>
          <w:p w14:paraId="1CE5704F" w14:textId="673B6B62" w:rsidR="00D72095" w:rsidRPr="00920F5D" w:rsidRDefault="00CB23CD" w:rsidP="00920F5D">
            <w:pPr>
              <w:jc w:val="left"/>
              <w:rPr>
                <w:sz w:val="16"/>
              </w:rPr>
            </w:pPr>
            <w:r>
              <w:rPr>
                <w:sz w:val="16"/>
              </w:rPr>
              <w:fldChar w:fldCharType="begin"/>
            </w:r>
            <w:r>
              <w:rPr>
                <w:sz w:val="16"/>
              </w:rPr>
              <w:instrText xml:space="preserve"> REF _Ref465347581 \r \h </w:instrText>
            </w:r>
            <w:r>
              <w:rPr>
                <w:sz w:val="16"/>
              </w:rPr>
            </w:r>
            <w:r>
              <w:rPr>
                <w:sz w:val="16"/>
              </w:rPr>
              <w:fldChar w:fldCharType="separate"/>
            </w:r>
            <w:r w:rsidR="00215E29">
              <w:rPr>
                <w:sz w:val="16"/>
              </w:rPr>
              <w:t>2.5</w:t>
            </w:r>
            <w:r>
              <w:rPr>
                <w:sz w:val="16"/>
              </w:rPr>
              <w:fldChar w:fldCharType="end"/>
            </w:r>
          </w:p>
        </w:tc>
      </w:tr>
      <w:tr w:rsidR="00920F5D" w:rsidRPr="00920F5D" w14:paraId="1DC0F462" w14:textId="77777777" w:rsidTr="003A1AA5">
        <w:tc>
          <w:tcPr>
            <w:tcW w:w="343" w:type="pct"/>
          </w:tcPr>
          <w:p w14:paraId="3D346C2A" w14:textId="77777777" w:rsidR="00D72095" w:rsidRPr="00920F5D" w:rsidRDefault="00D72095" w:rsidP="00920F5D">
            <w:pPr>
              <w:jc w:val="left"/>
              <w:rPr>
                <w:sz w:val="16"/>
              </w:rPr>
            </w:pPr>
            <w:r w:rsidRPr="00920F5D">
              <w:rPr>
                <w:sz w:val="16"/>
              </w:rPr>
              <w:t>8.10.1</w:t>
            </w:r>
          </w:p>
        </w:tc>
        <w:tc>
          <w:tcPr>
            <w:tcW w:w="616" w:type="pct"/>
          </w:tcPr>
          <w:p w14:paraId="1F265ABB" w14:textId="64FA2DAA" w:rsidR="00D72095" w:rsidRPr="00920F5D" w:rsidRDefault="00D72095" w:rsidP="00920F5D">
            <w:pPr>
              <w:jc w:val="left"/>
              <w:rPr>
                <w:sz w:val="16"/>
              </w:rPr>
            </w:pPr>
            <w:r w:rsidRPr="00920F5D">
              <w:rPr>
                <w:sz w:val="16"/>
              </w:rPr>
              <w:t>Programme management cost</w:t>
            </w:r>
            <w:r w:rsidR="004E3490">
              <w:rPr>
                <w:sz w:val="16"/>
              </w:rPr>
              <w:t>s</w:t>
            </w:r>
          </w:p>
        </w:tc>
        <w:tc>
          <w:tcPr>
            <w:tcW w:w="548" w:type="pct"/>
          </w:tcPr>
          <w:p w14:paraId="1D7378C0" w14:textId="77777777" w:rsidR="00D72095" w:rsidRPr="00920F5D" w:rsidRDefault="00D72095" w:rsidP="00920F5D">
            <w:pPr>
              <w:jc w:val="left"/>
              <w:rPr>
                <w:sz w:val="16"/>
              </w:rPr>
            </w:pPr>
            <w:r w:rsidRPr="00920F5D">
              <w:rPr>
                <w:sz w:val="16"/>
              </w:rPr>
              <w:t>Designation of PO (MoU signature)</w:t>
            </w:r>
          </w:p>
        </w:tc>
        <w:tc>
          <w:tcPr>
            <w:tcW w:w="479" w:type="pct"/>
          </w:tcPr>
          <w:p w14:paraId="71EC15CB" w14:textId="77777777" w:rsidR="00D72095" w:rsidRPr="00920F5D" w:rsidRDefault="00D72095" w:rsidP="00920F5D">
            <w:pPr>
              <w:jc w:val="left"/>
              <w:rPr>
                <w:sz w:val="16"/>
              </w:rPr>
            </w:pPr>
            <w:r w:rsidRPr="00920F5D">
              <w:rPr>
                <w:sz w:val="16"/>
              </w:rPr>
              <w:t>31 December 2024</w:t>
            </w:r>
          </w:p>
        </w:tc>
        <w:tc>
          <w:tcPr>
            <w:tcW w:w="1028" w:type="pct"/>
          </w:tcPr>
          <w:p w14:paraId="090D07DB" w14:textId="77777777" w:rsidR="00D72095" w:rsidRPr="00920F5D" w:rsidRDefault="00D72095" w:rsidP="00920F5D">
            <w:pPr>
              <w:jc w:val="left"/>
              <w:rPr>
                <w:sz w:val="16"/>
              </w:rPr>
            </w:pPr>
            <w:r w:rsidRPr="00920F5D">
              <w:rPr>
                <w:sz w:val="16"/>
              </w:rPr>
              <w:t>Conditional on approval of the programme. (8.10.7)</w:t>
            </w:r>
          </w:p>
          <w:p w14:paraId="53F320D1" w14:textId="77777777" w:rsidR="00D72095" w:rsidRPr="00920F5D" w:rsidRDefault="00D72095" w:rsidP="00920F5D">
            <w:pPr>
              <w:jc w:val="left"/>
              <w:rPr>
                <w:sz w:val="16"/>
              </w:rPr>
            </w:pPr>
          </w:p>
        </w:tc>
        <w:tc>
          <w:tcPr>
            <w:tcW w:w="1494" w:type="pct"/>
          </w:tcPr>
          <w:p w14:paraId="53D67073" w14:textId="06BF475A" w:rsidR="00D72095" w:rsidRPr="00920F5D" w:rsidRDefault="00D72095" w:rsidP="00920F5D">
            <w:pPr>
              <w:jc w:val="left"/>
              <w:rPr>
                <w:sz w:val="16"/>
              </w:rPr>
            </w:pPr>
            <w:r w:rsidRPr="00920F5D">
              <w:rPr>
                <w:sz w:val="16"/>
              </w:rPr>
              <w:t>Extraordinary advance payment related to the preparation of the programme (8.10.8)</w:t>
            </w:r>
          </w:p>
          <w:p w14:paraId="64A4C132" w14:textId="77777777" w:rsidR="00D72095" w:rsidRPr="00920F5D" w:rsidRDefault="00D72095" w:rsidP="00920F5D">
            <w:pPr>
              <w:jc w:val="left"/>
              <w:rPr>
                <w:sz w:val="16"/>
              </w:rPr>
            </w:pPr>
            <w:r w:rsidRPr="00920F5D">
              <w:rPr>
                <w:sz w:val="16"/>
              </w:rPr>
              <w:t>Before any payment is made to the programme, NFP to notify that PIA with PO has been signed. (6.8.5)</w:t>
            </w:r>
          </w:p>
        </w:tc>
        <w:tc>
          <w:tcPr>
            <w:tcW w:w="492" w:type="pct"/>
          </w:tcPr>
          <w:p w14:paraId="1F9477B4" w14:textId="2A96A622" w:rsidR="00D72095" w:rsidRPr="00920F5D" w:rsidRDefault="00CB23CD" w:rsidP="00CB23CD">
            <w:pPr>
              <w:jc w:val="left"/>
              <w:rPr>
                <w:sz w:val="16"/>
              </w:rPr>
            </w:pPr>
            <w:r>
              <w:rPr>
                <w:sz w:val="16"/>
              </w:rPr>
              <w:fldChar w:fldCharType="begin"/>
            </w:r>
            <w:r>
              <w:rPr>
                <w:sz w:val="16"/>
              </w:rPr>
              <w:instrText xml:space="preserve"> REF _Ref465347593 \r \h </w:instrText>
            </w:r>
            <w:r>
              <w:rPr>
                <w:sz w:val="16"/>
              </w:rPr>
            </w:r>
            <w:r>
              <w:rPr>
                <w:sz w:val="16"/>
              </w:rPr>
              <w:fldChar w:fldCharType="separate"/>
            </w:r>
            <w:r w:rsidR="00215E29">
              <w:rPr>
                <w:sz w:val="16"/>
              </w:rPr>
              <w:t>2.6.1</w:t>
            </w:r>
            <w:r>
              <w:rPr>
                <w:sz w:val="16"/>
              </w:rPr>
              <w:fldChar w:fldCharType="end"/>
            </w:r>
          </w:p>
        </w:tc>
      </w:tr>
      <w:tr w:rsidR="00920F5D" w:rsidRPr="00920F5D" w14:paraId="4AC7CF5A" w14:textId="77777777" w:rsidTr="003A1AA5">
        <w:tc>
          <w:tcPr>
            <w:tcW w:w="343" w:type="pct"/>
          </w:tcPr>
          <w:p w14:paraId="0E6C0BBA" w14:textId="77777777" w:rsidR="00D72095" w:rsidRPr="00920F5D" w:rsidRDefault="00D72095" w:rsidP="00920F5D">
            <w:pPr>
              <w:jc w:val="left"/>
              <w:rPr>
                <w:sz w:val="16"/>
              </w:rPr>
            </w:pPr>
            <w:r w:rsidRPr="00920F5D">
              <w:rPr>
                <w:sz w:val="16"/>
              </w:rPr>
              <w:t>8.13</w:t>
            </w:r>
          </w:p>
        </w:tc>
        <w:tc>
          <w:tcPr>
            <w:tcW w:w="616" w:type="pct"/>
          </w:tcPr>
          <w:p w14:paraId="620A93EB" w14:textId="77777777" w:rsidR="00D72095" w:rsidRPr="00920F5D" w:rsidRDefault="00D72095" w:rsidP="00920F5D">
            <w:pPr>
              <w:jc w:val="left"/>
              <w:rPr>
                <w:sz w:val="16"/>
              </w:rPr>
            </w:pPr>
            <w:r w:rsidRPr="00920F5D">
              <w:rPr>
                <w:sz w:val="16"/>
              </w:rPr>
              <w:t>Project</w:t>
            </w:r>
          </w:p>
        </w:tc>
        <w:tc>
          <w:tcPr>
            <w:tcW w:w="548" w:type="pct"/>
          </w:tcPr>
          <w:p w14:paraId="4AD984CC" w14:textId="77777777" w:rsidR="00D72095" w:rsidRPr="00920F5D" w:rsidRDefault="00D72095" w:rsidP="00920F5D">
            <w:pPr>
              <w:jc w:val="left"/>
              <w:rPr>
                <w:sz w:val="16"/>
              </w:rPr>
            </w:pPr>
            <w:r w:rsidRPr="00920F5D">
              <w:rPr>
                <w:sz w:val="16"/>
              </w:rPr>
              <w:t>Award of the project grant</w:t>
            </w:r>
          </w:p>
        </w:tc>
        <w:tc>
          <w:tcPr>
            <w:tcW w:w="479" w:type="pct"/>
          </w:tcPr>
          <w:p w14:paraId="15C86B91" w14:textId="77777777" w:rsidR="00D72095" w:rsidRPr="00920F5D" w:rsidRDefault="00D72095" w:rsidP="00920F5D">
            <w:pPr>
              <w:jc w:val="left"/>
              <w:rPr>
                <w:sz w:val="16"/>
              </w:rPr>
            </w:pPr>
            <w:r w:rsidRPr="00920F5D">
              <w:rPr>
                <w:sz w:val="16"/>
              </w:rPr>
              <w:t>30 April 2024</w:t>
            </w:r>
          </w:p>
        </w:tc>
        <w:tc>
          <w:tcPr>
            <w:tcW w:w="1028" w:type="pct"/>
          </w:tcPr>
          <w:p w14:paraId="44D34AE7" w14:textId="77777777" w:rsidR="00D72095" w:rsidRPr="00920F5D" w:rsidRDefault="00D72095" w:rsidP="00920F5D">
            <w:pPr>
              <w:jc w:val="left"/>
              <w:rPr>
                <w:sz w:val="16"/>
              </w:rPr>
            </w:pPr>
            <w:r w:rsidRPr="00920F5D">
              <w:rPr>
                <w:sz w:val="16"/>
              </w:rPr>
              <w:t>Later start date can be set in the PA/PIA/ project contract</w:t>
            </w:r>
          </w:p>
        </w:tc>
        <w:tc>
          <w:tcPr>
            <w:tcW w:w="1494" w:type="pct"/>
          </w:tcPr>
          <w:p w14:paraId="78ED66B7" w14:textId="77777777" w:rsidR="00D72095" w:rsidRPr="00920F5D" w:rsidRDefault="00D72095" w:rsidP="00920F5D">
            <w:pPr>
              <w:jc w:val="left"/>
              <w:rPr>
                <w:sz w:val="16"/>
              </w:rPr>
            </w:pPr>
          </w:p>
        </w:tc>
        <w:tc>
          <w:tcPr>
            <w:tcW w:w="492" w:type="pct"/>
          </w:tcPr>
          <w:p w14:paraId="468A82C6" w14:textId="4A048A52" w:rsidR="00D72095" w:rsidRPr="00920F5D" w:rsidRDefault="00CB23CD" w:rsidP="00920F5D">
            <w:pPr>
              <w:jc w:val="left"/>
              <w:rPr>
                <w:sz w:val="16"/>
              </w:rPr>
            </w:pPr>
            <w:r>
              <w:rPr>
                <w:sz w:val="16"/>
              </w:rPr>
              <w:fldChar w:fldCharType="begin"/>
            </w:r>
            <w:r>
              <w:rPr>
                <w:sz w:val="16"/>
              </w:rPr>
              <w:instrText xml:space="preserve"> REF _Ref461535811 \r \h </w:instrText>
            </w:r>
            <w:r>
              <w:rPr>
                <w:sz w:val="16"/>
              </w:rPr>
            </w:r>
            <w:r>
              <w:rPr>
                <w:sz w:val="16"/>
              </w:rPr>
              <w:fldChar w:fldCharType="separate"/>
            </w:r>
            <w:r w:rsidR="00215E29">
              <w:rPr>
                <w:sz w:val="16"/>
              </w:rPr>
              <w:t>2.7</w:t>
            </w:r>
            <w:r>
              <w:rPr>
                <w:sz w:val="16"/>
              </w:rPr>
              <w:fldChar w:fldCharType="end"/>
            </w:r>
          </w:p>
        </w:tc>
      </w:tr>
    </w:tbl>
    <w:p w14:paraId="70DFCA5C" w14:textId="4D114892" w:rsidR="00D93E97" w:rsidRDefault="00D93E97">
      <w:r w:rsidRPr="009B7F14">
        <w:br w:type="page"/>
      </w:r>
    </w:p>
    <w:p w14:paraId="31B69424" w14:textId="1D8E37EC" w:rsidR="00EA0C8C" w:rsidRDefault="0061777D" w:rsidP="00920571">
      <w:pPr>
        <w:pStyle w:val="Heading2"/>
      </w:pPr>
      <w:bookmarkStart w:id="84" w:name="_Toc484174859"/>
      <w:r>
        <w:t>5.3 Overview of d</w:t>
      </w:r>
      <w:r w:rsidR="00EA0C8C">
        <w:t>eadlines for submission of documents</w:t>
      </w:r>
      <w:bookmarkEnd w:id="84"/>
    </w:p>
    <w:tbl>
      <w:tblPr>
        <w:tblStyle w:val="TableGrid"/>
        <w:tblW w:w="10632" w:type="dxa"/>
        <w:tblInd w:w="-714" w:type="dxa"/>
        <w:tblCellMar>
          <w:left w:w="57" w:type="dxa"/>
          <w:right w:w="57" w:type="dxa"/>
        </w:tblCellMar>
        <w:tblLook w:val="04A0" w:firstRow="1" w:lastRow="0" w:firstColumn="1" w:lastColumn="0" w:noHBand="0" w:noVBand="1"/>
      </w:tblPr>
      <w:tblGrid>
        <w:gridCol w:w="993"/>
        <w:gridCol w:w="1199"/>
        <w:gridCol w:w="2486"/>
        <w:gridCol w:w="2694"/>
        <w:gridCol w:w="3260"/>
      </w:tblGrid>
      <w:tr w:rsidR="00EA0C8C" w:rsidRPr="00EA0C8C" w14:paraId="384CB38D" w14:textId="77777777" w:rsidTr="0069092A">
        <w:trPr>
          <w:cnfStyle w:val="100000000000" w:firstRow="1" w:lastRow="0" w:firstColumn="0" w:lastColumn="0" w:oddVBand="0" w:evenVBand="0" w:oddHBand="0" w:evenHBand="0" w:firstRowFirstColumn="0" w:firstRowLastColumn="0" w:lastRowFirstColumn="0" w:lastRowLastColumn="0"/>
          <w:trHeight w:val="20"/>
        </w:trPr>
        <w:tc>
          <w:tcPr>
            <w:tcW w:w="10632" w:type="dxa"/>
            <w:gridSpan w:val="5"/>
            <w:vAlign w:val="center"/>
          </w:tcPr>
          <w:p w14:paraId="73AC6933" w14:textId="6436DABD" w:rsidR="00EA0C8C" w:rsidRPr="00EA0C8C" w:rsidRDefault="00EA0C8C" w:rsidP="0061777D">
            <w:pPr>
              <w:jc w:val="center"/>
              <w:rPr>
                <w:b w:val="0"/>
                <w:sz w:val="16"/>
              </w:rPr>
            </w:pPr>
            <w:bookmarkStart w:id="85" w:name="_Ref461618044"/>
            <w:r w:rsidRPr="00EA0C8C">
              <w:rPr>
                <w:sz w:val="16"/>
              </w:rPr>
              <w:t>Submission deadlines</w:t>
            </w:r>
          </w:p>
        </w:tc>
      </w:tr>
      <w:tr w:rsidR="00EA0C8C" w:rsidRPr="00EA0C8C" w14:paraId="6062612C" w14:textId="77777777" w:rsidTr="0069092A">
        <w:trPr>
          <w:trHeight w:val="20"/>
        </w:trPr>
        <w:tc>
          <w:tcPr>
            <w:tcW w:w="993" w:type="dxa"/>
            <w:vAlign w:val="center"/>
          </w:tcPr>
          <w:p w14:paraId="719102F5" w14:textId="5CC2E9EA" w:rsidR="00EA0C8C" w:rsidRPr="00EA0C8C" w:rsidRDefault="00EA0C8C" w:rsidP="00EA0C8C">
            <w:pPr>
              <w:jc w:val="center"/>
              <w:rPr>
                <w:b/>
                <w:sz w:val="16"/>
              </w:rPr>
            </w:pPr>
            <w:r>
              <w:rPr>
                <w:b/>
                <w:sz w:val="16"/>
              </w:rPr>
              <w:t>Reg. Art.</w:t>
            </w:r>
          </w:p>
        </w:tc>
        <w:tc>
          <w:tcPr>
            <w:tcW w:w="1199" w:type="dxa"/>
            <w:vAlign w:val="center"/>
          </w:tcPr>
          <w:p w14:paraId="632B6FEE" w14:textId="77777777" w:rsidR="00EA0C8C" w:rsidRPr="00EA0C8C" w:rsidRDefault="00EA0C8C" w:rsidP="00EA0C8C">
            <w:pPr>
              <w:jc w:val="center"/>
              <w:rPr>
                <w:b/>
                <w:sz w:val="16"/>
              </w:rPr>
            </w:pPr>
            <w:r w:rsidRPr="00EA0C8C">
              <w:rPr>
                <w:b/>
                <w:sz w:val="16"/>
              </w:rPr>
              <w:t>Responsible</w:t>
            </w:r>
          </w:p>
        </w:tc>
        <w:tc>
          <w:tcPr>
            <w:tcW w:w="2486" w:type="dxa"/>
            <w:vAlign w:val="center"/>
          </w:tcPr>
          <w:p w14:paraId="1471F247" w14:textId="77777777" w:rsidR="00EA0C8C" w:rsidRPr="00EA0C8C" w:rsidRDefault="00EA0C8C" w:rsidP="00EA0C8C">
            <w:pPr>
              <w:jc w:val="center"/>
              <w:rPr>
                <w:b/>
                <w:sz w:val="16"/>
              </w:rPr>
            </w:pPr>
            <w:r w:rsidRPr="00EA0C8C">
              <w:rPr>
                <w:b/>
                <w:sz w:val="16"/>
              </w:rPr>
              <w:t>Document</w:t>
            </w:r>
          </w:p>
        </w:tc>
        <w:tc>
          <w:tcPr>
            <w:tcW w:w="2694" w:type="dxa"/>
            <w:vAlign w:val="center"/>
          </w:tcPr>
          <w:p w14:paraId="72684816" w14:textId="77777777" w:rsidR="00EA0C8C" w:rsidRPr="00EA0C8C" w:rsidRDefault="00EA0C8C" w:rsidP="00EA0C8C">
            <w:pPr>
              <w:jc w:val="center"/>
              <w:rPr>
                <w:b/>
                <w:sz w:val="16"/>
              </w:rPr>
            </w:pPr>
            <w:r w:rsidRPr="00EA0C8C">
              <w:rPr>
                <w:b/>
                <w:sz w:val="16"/>
              </w:rPr>
              <w:t>Deadline</w:t>
            </w:r>
          </w:p>
        </w:tc>
        <w:tc>
          <w:tcPr>
            <w:tcW w:w="3260" w:type="dxa"/>
            <w:vAlign w:val="center"/>
          </w:tcPr>
          <w:p w14:paraId="25A259F9" w14:textId="77777777" w:rsidR="00EA0C8C" w:rsidRPr="00EA0C8C" w:rsidRDefault="00EA0C8C" w:rsidP="00EA0C8C">
            <w:pPr>
              <w:jc w:val="center"/>
              <w:rPr>
                <w:b/>
                <w:sz w:val="16"/>
              </w:rPr>
            </w:pPr>
            <w:r w:rsidRPr="00EA0C8C">
              <w:rPr>
                <w:b/>
                <w:sz w:val="16"/>
              </w:rPr>
              <w:t>Comment/Important to remember</w:t>
            </w:r>
          </w:p>
        </w:tc>
      </w:tr>
      <w:tr w:rsidR="00EA0C8C" w:rsidRPr="00EA0C8C" w14:paraId="08C85873" w14:textId="77777777" w:rsidTr="0069092A">
        <w:trPr>
          <w:trHeight w:val="20"/>
        </w:trPr>
        <w:tc>
          <w:tcPr>
            <w:tcW w:w="993" w:type="dxa"/>
          </w:tcPr>
          <w:p w14:paraId="3936CC45" w14:textId="77777777" w:rsidR="00EA0C8C" w:rsidRPr="00EA0C8C" w:rsidRDefault="00EA0C8C" w:rsidP="00EA0C8C">
            <w:pPr>
              <w:jc w:val="left"/>
              <w:rPr>
                <w:sz w:val="16"/>
              </w:rPr>
            </w:pPr>
            <w:r w:rsidRPr="00EA0C8C">
              <w:rPr>
                <w:sz w:val="16"/>
              </w:rPr>
              <w:t>5.7.1</w:t>
            </w:r>
          </w:p>
        </w:tc>
        <w:tc>
          <w:tcPr>
            <w:tcW w:w="1199" w:type="dxa"/>
          </w:tcPr>
          <w:p w14:paraId="06475381" w14:textId="77777777" w:rsidR="00EA0C8C" w:rsidRPr="00EA0C8C" w:rsidRDefault="00EA0C8C" w:rsidP="00EA0C8C">
            <w:pPr>
              <w:jc w:val="left"/>
              <w:rPr>
                <w:sz w:val="16"/>
              </w:rPr>
            </w:pPr>
            <w:r w:rsidRPr="00EA0C8C">
              <w:rPr>
                <w:sz w:val="16"/>
              </w:rPr>
              <w:t>NFP</w:t>
            </w:r>
          </w:p>
        </w:tc>
        <w:tc>
          <w:tcPr>
            <w:tcW w:w="2486" w:type="dxa"/>
          </w:tcPr>
          <w:p w14:paraId="795B2692" w14:textId="77777777" w:rsidR="00EA0C8C" w:rsidRPr="00EA0C8C" w:rsidRDefault="00EA0C8C" w:rsidP="00EA0C8C">
            <w:pPr>
              <w:jc w:val="left"/>
              <w:rPr>
                <w:sz w:val="16"/>
              </w:rPr>
            </w:pPr>
            <w:r w:rsidRPr="00EA0C8C">
              <w:rPr>
                <w:sz w:val="16"/>
              </w:rPr>
              <w:t>Management and control system description</w:t>
            </w:r>
          </w:p>
        </w:tc>
        <w:tc>
          <w:tcPr>
            <w:tcW w:w="2694" w:type="dxa"/>
          </w:tcPr>
          <w:p w14:paraId="38E39D69" w14:textId="77777777" w:rsidR="00EA0C8C" w:rsidRPr="00EA0C8C" w:rsidRDefault="00EA0C8C" w:rsidP="00EA0C8C">
            <w:pPr>
              <w:jc w:val="left"/>
              <w:rPr>
                <w:sz w:val="16"/>
              </w:rPr>
            </w:pPr>
            <w:r w:rsidRPr="00EA0C8C">
              <w:rPr>
                <w:sz w:val="16"/>
              </w:rPr>
              <w:t xml:space="preserve">Within 6 months of the last MoU signature </w:t>
            </w:r>
          </w:p>
        </w:tc>
        <w:tc>
          <w:tcPr>
            <w:tcW w:w="3260" w:type="dxa"/>
          </w:tcPr>
          <w:p w14:paraId="0F1A8E0E" w14:textId="77777777" w:rsidR="00EA0C8C" w:rsidRPr="00EA0C8C" w:rsidRDefault="00EA0C8C" w:rsidP="00EA0C8C">
            <w:pPr>
              <w:jc w:val="left"/>
              <w:rPr>
                <w:sz w:val="16"/>
              </w:rPr>
            </w:pPr>
            <w:r w:rsidRPr="00EA0C8C">
              <w:rPr>
                <w:sz w:val="16"/>
              </w:rPr>
              <w:t xml:space="preserve">Prior to disbursing first payment to programme, TA or BF, FMC shall determine whether the MCSD is submitted and meets the minimum requirements. </w:t>
            </w:r>
          </w:p>
        </w:tc>
      </w:tr>
      <w:tr w:rsidR="00EA0C8C" w:rsidRPr="00EA0C8C" w14:paraId="64585374" w14:textId="77777777" w:rsidTr="0069092A">
        <w:trPr>
          <w:trHeight w:val="20"/>
        </w:trPr>
        <w:tc>
          <w:tcPr>
            <w:tcW w:w="993" w:type="dxa"/>
          </w:tcPr>
          <w:p w14:paraId="08F5F172" w14:textId="77777777" w:rsidR="00EA0C8C" w:rsidRPr="00EA0C8C" w:rsidRDefault="00EA0C8C" w:rsidP="00EA0C8C">
            <w:pPr>
              <w:jc w:val="left"/>
              <w:rPr>
                <w:sz w:val="16"/>
              </w:rPr>
            </w:pPr>
            <w:r w:rsidRPr="00EA0C8C">
              <w:rPr>
                <w:sz w:val="16"/>
              </w:rPr>
              <w:t>6.2.2</w:t>
            </w:r>
          </w:p>
        </w:tc>
        <w:tc>
          <w:tcPr>
            <w:tcW w:w="1199" w:type="dxa"/>
          </w:tcPr>
          <w:p w14:paraId="5E3C68B2" w14:textId="77777777" w:rsidR="00EA0C8C" w:rsidRPr="00EA0C8C" w:rsidRDefault="00EA0C8C" w:rsidP="00EA0C8C">
            <w:pPr>
              <w:jc w:val="left"/>
              <w:rPr>
                <w:sz w:val="16"/>
              </w:rPr>
            </w:pPr>
            <w:r w:rsidRPr="00EA0C8C">
              <w:rPr>
                <w:sz w:val="16"/>
              </w:rPr>
              <w:t>PO through NFP</w:t>
            </w:r>
          </w:p>
        </w:tc>
        <w:tc>
          <w:tcPr>
            <w:tcW w:w="2486" w:type="dxa"/>
          </w:tcPr>
          <w:p w14:paraId="4E895D0A" w14:textId="77777777" w:rsidR="00EA0C8C" w:rsidRPr="00EA0C8C" w:rsidRDefault="00EA0C8C" w:rsidP="00EA0C8C">
            <w:pPr>
              <w:jc w:val="left"/>
              <w:rPr>
                <w:sz w:val="16"/>
              </w:rPr>
            </w:pPr>
            <w:r w:rsidRPr="00EA0C8C">
              <w:rPr>
                <w:sz w:val="16"/>
              </w:rPr>
              <w:t>Concept note</w:t>
            </w:r>
          </w:p>
        </w:tc>
        <w:tc>
          <w:tcPr>
            <w:tcW w:w="2694" w:type="dxa"/>
          </w:tcPr>
          <w:p w14:paraId="06C32373" w14:textId="77777777" w:rsidR="00EA0C8C" w:rsidRPr="00EA0C8C" w:rsidRDefault="00EA0C8C" w:rsidP="00EA0C8C">
            <w:pPr>
              <w:jc w:val="left"/>
              <w:rPr>
                <w:sz w:val="16"/>
              </w:rPr>
            </w:pPr>
            <w:r w:rsidRPr="00EA0C8C">
              <w:rPr>
                <w:sz w:val="16"/>
              </w:rPr>
              <w:t>Within 6 months of PO designation</w:t>
            </w:r>
          </w:p>
        </w:tc>
        <w:tc>
          <w:tcPr>
            <w:tcW w:w="3260" w:type="dxa"/>
          </w:tcPr>
          <w:p w14:paraId="0733ABF4" w14:textId="77777777" w:rsidR="00EA0C8C" w:rsidRPr="00EA0C8C" w:rsidRDefault="00EA0C8C" w:rsidP="00EA0C8C">
            <w:pPr>
              <w:jc w:val="left"/>
              <w:rPr>
                <w:b/>
                <w:sz w:val="16"/>
              </w:rPr>
            </w:pPr>
          </w:p>
        </w:tc>
      </w:tr>
      <w:tr w:rsidR="00EA0C8C" w:rsidRPr="00EA0C8C" w14:paraId="33A235F8" w14:textId="77777777" w:rsidTr="0069092A">
        <w:trPr>
          <w:trHeight w:val="20"/>
        </w:trPr>
        <w:tc>
          <w:tcPr>
            <w:tcW w:w="993" w:type="dxa"/>
          </w:tcPr>
          <w:p w14:paraId="2B86829A" w14:textId="77777777" w:rsidR="00EA0C8C" w:rsidRPr="00EA0C8C" w:rsidRDefault="00EA0C8C" w:rsidP="00EA0C8C">
            <w:pPr>
              <w:jc w:val="left"/>
              <w:rPr>
                <w:sz w:val="16"/>
              </w:rPr>
            </w:pPr>
            <w:r w:rsidRPr="00EA0C8C">
              <w:rPr>
                <w:sz w:val="16"/>
              </w:rPr>
              <w:t>6.3.1</w:t>
            </w:r>
          </w:p>
        </w:tc>
        <w:tc>
          <w:tcPr>
            <w:tcW w:w="1199" w:type="dxa"/>
          </w:tcPr>
          <w:p w14:paraId="624D1247" w14:textId="77777777" w:rsidR="00EA0C8C" w:rsidRPr="00EA0C8C" w:rsidRDefault="00EA0C8C" w:rsidP="00EA0C8C">
            <w:pPr>
              <w:jc w:val="left"/>
              <w:rPr>
                <w:sz w:val="16"/>
              </w:rPr>
            </w:pPr>
            <w:r w:rsidRPr="00EA0C8C">
              <w:rPr>
                <w:sz w:val="16"/>
              </w:rPr>
              <w:t xml:space="preserve">NFP/FMO </w:t>
            </w:r>
          </w:p>
        </w:tc>
        <w:tc>
          <w:tcPr>
            <w:tcW w:w="2486" w:type="dxa"/>
          </w:tcPr>
          <w:p w14:paraId="41C320CF" w14:textId="52C56208" w:rsidR="00EA0C8C" w:rsidRPr="00EA0C8C" w:rsidRDefault="00AF054F" w:rsidP="00EA0C8C">
            <w:pPr>
              <w:jc w:val="left"/>
              <w:rPr>
                <w:sz w:val="16"/>
              </w:rPr>
            </w:pPr>
            <w:r>
              <w:rPr>
                <w:sz w:val="16"/>
              </w:rPr>
              <w:t>Programme A</w:t>
            </w:r>
            <w:r w:rsidR="00EA0C8C" w:rsidRPr="00EA0C8C">
              <w:rPr>
                <w:sz w:val="16"/>
              </w:rPr>
              <w:t>greement</w:t>
            </w:r>
          </w:p>
        </w:tc>
        <w:tc>
          <w:tcPr>
            <w:tcW w:w="2694" w:type="dxa"/>
          </w:tcPr>
          <w:p w14:paraId="75CE7811" w14:textId="77777777" w:rsidR="00EA0C8C" w:rsidRPr="00EA0C8C" w:rsidRDefault="00EA0C8C" w:rsidP="00EA0C8C">
            <w:pPr>
              <w:jc w:val="left"/>
              <w:rPr>
                <w:sz w:val="16"/>
              </w:rPr>
            </w:pPr>
            <w:r w:rsidRPr="00EA0C8C">
              <w:rPr>
                <w:sz w:val="16"/>
              </w:rPr>
              <w:t>Within 6 months of concept note submission</w:t>
            </w:r>
          </w:p>
        </w:tc>
        <w:tc>
          <w:tcPr>
            <w:tcW w:w="3260" w:type="dxa"/>
          </w:tcPr>
          <w:p w14:paraId="0CE12056" w14:textId="77777777" w:rsidR="00EA0C8C" w:rsidRPr="00EA0C8C" w:rsidRDefault="00EA0C8C" w:rsidP="00EA0C8C">
            <w:pPr>
              <w:jc w:val="left"/>
              <w:rPr>
                <w:b/>
                <w:sz w:val="16"/>
              </w:rPr>
            </w:pPr>
          </w:p>
        </w:tc>
      </w:tr>
      <w:tr w:rsidR="00EA0C8C" w:rsidRPr="00EA0C8C" w14:paraId="4534AEDF" w14:textId="77777777" w:rsidTr="0069092A">
        <w:trPr>
          <w:trHeight w:val="20"/>
        </w:trPr>
        <w:tc>
          <w:tcPr>
            <w:tcW w:w="993" w:type="dxa"/>
          </w:tcPr>
          <w:p w14:paraId="70FD43CE" w14:textId="77777777" w:rsidR="00EA0C8C" w:rsidRPr="00EA0C8C" w:rsidRDefault="00EA0C8C" w:rsidP="00EA0C8C">
            <w:pPr>
              <w:jc w:val="left"/>
              <w:rPr>
                <w:sz w:val="16"/>
              </w:rPr>
            </w:pPr>
            <w:r w:rsidRPr="00EA0C8C">
              <w:rPr>
                <w:sz w:val="16"/>
              </w:rPr>
              <w:t>6.8.5</w:t>
            </w:r>
          </w:p>
        </w:tc>
        <w:tc>
          <w:tcPr>
            <w:tcW w:w="1199" w:type="dxa"/>
          </w:tcPr>
          <w:p w14:paraId="3F1F3870" w14:textId="77777777" w:rsidR="00EA0C8C" w:rsidRPr="00EA0C8C" w:rsidRDefault="00EA0C8C" w:rsidP="00EA0C8C">
            <w:pPr>
              <w:jc w:val="left"/>
              <w:rPr>
                <w:sz w:val="16"/>
              </w:rPr>
            </w:pPr>
            <w:r w:rsidRPr="00EA0C8C">
              <w:rPr>
                <w:sz w:val="16"/>
              </w:rPr>
              <w:t>NFP</w:t>
            </w:r>
          </w:p>
        </w:tc>
        <w:tc>
          <w:tcPr>
            <w:tcW w:w="2486" w:type="dxa"/>
          </w:tcPr>
          <w:p w14:paraId="2BC4EB3E" w14:textId="77777777" w:rsidR="00EA0C8C" w:rsidRPr="00EA0C8C" w:rsidRDefault="00EA0C8C" w:rsidP="00EA0C8C">
            <w:pPr>
              <w:jc w:val="left"/>
              <w:rPr>
                <w:sz w:val="16"/>
              </w:rPr>
            </w:pPr>
            <w:r w:rsidRPr="00EA0C8C">
              <w:rPr>
                <w:sz w:val="16"/>
              </w:rPr>
              <w:t>Programme Implementation Agreement with PO</w:t>
            </w:r>
          </w:p>
        </w:tc>
        <w:tc>
          <w:tcPr>
            <w:tcW w:w="2694" w:type="dxa"/>
          </w:tcPr>
          <w:p w14:paraId="3C817919" w14:textId="77777777" w:rsidR="00EA0C8C" w:rsidRPr="00EA0C8C" w:rsidRDefault="00EA0C8C" w:rsidP="00EA0C8C">
            <w:pPr>
              <w:jc w:val="left"/>
              <w:rPr>
                <w:sz w:val="16"/>
              </w:rPr>
            </w:pPr>
            <w:r w:rsidRPr="00EA0C8C">
              <w:rPr>
                <w:sz w:val="16"/>
              </w:rPr>
              <w:t>Notification on signature</w:t>
            </w:r>
          </w:p>
        </w:tc>
        <w:tc>
          <w:tcPr>
            <w:tcW w:w="3260" w:type="dxa"/>
          </w:tcPr>
          <w:p w14:paraId="4E0F8A2D" w14:textId="77777777" w:rsidR="00EA0C8C" w:rsidRPr="00EA0C8C" w:rsidRDefault="00EA0C8C" w:rsidP="00EA0C8C">
            <w:pPr>
              <w:jc w:val="left"/>
              <w:rPr>
                <w:sz w:val="16"/>
              </w:rPr>
            </w:pPr>
            <w:r w:rsidRPr="00EA0C8C">
              <w:rPr>
                <w:sz w:val="16"/>
              </w:rPr>
              <w:t>No payment to the programme until received</w:t>
            </w:r>
          </w:p>
        </w:tc>
      </w:tr>
      <w:tr w:rsidR="00EA0C8C" w:rsidRPr="00EA0C8C" w14:paraId="26F2DF9D" w14:textId="77777777" w:rsidTr="0069092A">
        <w:trPr>
          <w:trHeight w:val="20"/>
        </w:trPr>
        <w:tc>
          <w:tcPr>
            <w:tcW w:w="993" w:type="dxa"/>
          </w:tcPr>
          <w:p w14:paraId="112588A4" w14:textId="77777777" w:rsidR="00EA0C8C" w:rsidRPr="00EA0C8C" w:rsidRDefault="00EA0C8C" w:rsidP="00EA0C8C">
            <w:pPr>
              <w:jc w:val="left"/>
              <w:rPr>
                <w:sz w:val="16"/>
              </w:rPr>
            </w:pPr>
            <w:r w:rsidRPr="00EA0C8C">
              <w:rPr>
                <w:sz w:val="16"/>
              </w:rPr>
              <w:t>4.2.5</w:t>
            </w:r>
          </w:p>
        </w:tc>
        <w:tc>
          <w:tcPr>
            <w:tcW w:w="1199" w:type="dxa"/>
          </w:tcPr>
          <w:p w14:paraId="67F7B712" w14:textId="77777777" w:rsidR="00EA0C8C" w:rsidRPr="00EA0C8C" w:rsidRDefault="00EA0C8C" w:rsidP="00EA0C8C">
            <w:pPr>
              <w:jc w:val="left"/>
              <w:rPr>
                <w:sz w:val="16"/>
              </w:rPr>
            </w:pPr>
            <w:r w:rsidRPr="00EA0C8C">
              <w:rPr>
                <w:sz w:val="16"/>
              </w:rPr>
              <w:t>NFP</w:t>
            </w:r>
          </w:p>
        </w:tc>
        <w:tc>
          <w:tcPr>
            <w:tcW w:w="2486" w:type="dxa"/>
          </w:tcPr>
          <w:p w14:paraId="25370FEC" w14:textId="77777777" w:rsidR="00EA0C8C" w:rsidRPr="00EA0C8C" w:rsidRDefault="00EA0C8C" w:rsidP="00EA0C8C">
            <w:pPr>
              <w:jc w:val="left"/>
              <w:rPr>
                <w:sz w:val="16"/>
              </w:rPr>
            </w:pPr>
            <w:r w:rsidRPr="00EA0C8C">
              <w:rPr>
                <w:sz w:val="16"/>
              </w:rPr>
              <w:t>JCBF set-up</w:t>
            </w:r>
          </w:p>
        </w:tc>
        <w:tc>
          <w:tcPr>
            <w:tcW w:w="2694" w:type="dxa"/>
          </w:tcPr>
          <w:p w14:paraId="4C6A972B" w14:textId="77777777" w:rsidR="00EA0C8C" w:rsidRPr="00EA0C8C" w:rsidRDefault="00EA0C8C" w:rsidP="00EA0C8C">
            <w:pPr>
              <w:jc w:val="left"/>
              <w:rPr>
                <w:sz w:val="16"/>
              </w:rPr>
            </w:pPr>
            <w:r w:rsidRPr="00EA0C8C">
              <w:rPr>
                <w:sz w:val="16"/>
              </w:rPr>
              <w:t>Within two months of MoU signature (composition, role, functioning)</w:t>
            </w:r>
          </w:p>
        </w:tc>
        <w:tc>
          <w:tcPr>
            <w:tcW w:w="3260" w:type="dxa"/>
          </w:tcPr>
          <w:p w14:paraId="30361C92" w14:textId="77777777" w:rsidR="00EA0C8C" w:rsidRPr="00EA0C8C" w:rsidRDefault="00EA0C8C" w:rsidP="00EA0C8C">
            <w:pPr>
              <w:jc w:val="left"/>
              <w:rPr>
                <w:b/>
                <w:sz w:val="16"/>
              </w:rPr>
            </w:pPr>
          </w:p>
        </w:tc>
      </w:tr>
      <w:tr w:rsidR="00EA0C8C" w:rsidRPr="00EA0C8C" w14:paraId="713054F9" w14:textId="77777777" w:rsidTr="0069092A">
        <w:trPr>
          <w:trHeight w:val="20"/>
        </w:trPr>
        <w:tc>
          <w:tcPr>
            <w:tcW w:w="993" w:type="dxa"/>
          </w:tcPr>
          <w:p w14:paraId="4E7943F4" w14:textId="77777777" w:rsidR="00EA0C8C" w:rsidRPr="00EA0C8C" w:rsidRDefault="00EA0C8C" w:rsidP="00EA0C8C">
            <w:pPr>
              <w:jc w:val="left"/>
              <w:rPr>
                <w:sz w:val="16"/>
              </w:rPr>
            </w:pPr>
            <w:r w:rsidRPr="00EA0C8C">
              <w:rPr>
                <w:sz w:val="16"/>
              </w:rPr>
              <w:t>6.11.2</w:t>
            </w:r>
          </w:p>
        </w:tc>
        <w:tc>
          <w:tcPr>
            <w:tcW w:w="1199" w:type="dxa"/>
          </w:tcPr>
          <w:p w14:paraId="1D30D124" w14:textId="77777777" w:rsidR="00EA0C8C" w:rsidRPr="00EA0C8C" w:rsidRDefault="00EA0C8C" w:rsidP="00EA0C8C">
            <w:pPr>
              <w:jc w:val="left"/>
              <w:rPr>
                <w:sz w:val="16"/>
              </w:rPr>
            </w:pPr>
            <w:r w:rsidRPr="00EA0C8C">
              <w:rPr>
                <w:sz w:val="16"/>
              </w:rPr>
              <w:t>PO</w:t>
            </w:r>
          </w:p>
        </w:tc>
        <w:tc>
          <w:tcPr>
            <w:tcW w:w="2486" w:type="dxa"/>
          </w:tcPr>
          <w:p w14:paraId="74D42253" w14:textId="436962EA" w:rsidR="00EA0C8C" w:rsidRPr="00EA0C8C" w:rsidRDefault="00231058" w:rsidP="00231058">
            <w:pPr>
              <w:jc w:val="left"/>
              <w:rPr>
                <w:sz w:val="16"/>
              </w:rPr>
            </w:pPr>
            <w:r>
              <w:rPr>
                <w:sz w:val="16"/>
              </w:rPr>
              <w:t>Annual Programme R</w:t>
            </w:r>
            <w:r w:rsidR="00EA0C8C" w:rsidRPr="00EA0C8C">
              <w:rPr>
                <w:sz w:val="16"/>
              </w:rPr>
              <w:t>eport</w:t>
            </w:r>
          </w:p>
        </w:tc>
        <w:tc>
          <w:tcPr>
            <w:tcW w:w="2694" w:type="dxa"/>
          </w:tcPr>
          <w:p w14:paraId="0935B89A" w14:textId="77777777" w:rsidR="00EA0C8C" w:rsidRPr="00EA0C8C" w:rsidRDefault="00EA0C8C" w:rsidP="00EA0C8C">
            <w:pPr>
              <w:jc w:val="left"/>
              <w:rPr>
                <w:sz w:val="16"/>
              </w:rPr>
            </w:pPr>
            <w:r w:rsidRPr="00EA0C8C">
              <w:rPr>
                <w:sz w:val="16"/>
              </w:rPr>
              <w:t>15 February each year</w:t>
            </w:r>
          </w:p>
        </w:tc>
        <w:tc>
          <w:tcPr>
            <w:tcW w:w="3260" w:type="dxa"/>
          </w:tcPr>
          <w:p w14:paraId="6CF79587" w14:textId="77777777" w:rsidR="00EA0C8C" w:rsidRPr="00EA0C8C" w:rsidRDefault="00EA0C8C" w:rsidP="00EA0C8C">
            <w:pPr>
              <w:jc w:val="left"/>
              <w:rPr>
                <w:sz w:val="16"/>
              </w:rPr>
            </w:pPr>
          </w:p>
        </w:tc>
      </w:tr>
      <w:tr w:rsidR="00EA0C8C" w:rsidRPr="00EA0C8C" w14:paraId="19CDA88C" w14:textId="77777777" w:rsidTr="0069092A">
        <w:trPr>
          <w:trHeight w:val="20"/>
        </w:trPr>
        <w:tc>
          <w:tcPr>
            <w:tcW w:w="993" w:type="dxa"/>
          </w:tcPr>
          <w:p w14:paraId="6638DB40" w14:textId="77777777" w:rsidR="00EA0C8C" w:rsidRPr="00EA0C8C" w:rsidRDefault="00EA0C8C" w:rsidP="00EA0C8C">
            <w:pPr>
              <w:jc w:val="left"/>
              <w:rPr>
                <w:sz w:val="16"/>
              </w:rPr>
            </w:pPr>
            <w:r w:rsidRPr="00EA0C8C">
              <w:rPr>
                <w:sz w:val="16"/>
              </w:rPr>
              <w:t>6.12.2</w:t>
            </w:r>
          </w:p>
        </w:tc>
        <w:tc>
          <w:tcPr>
            <w:tcW w:w="1199" w:type="dxa"/>
          </w:tcPr>
          <w:p w14:paraId="2E401DC3" w14:textId="77777777" w:rsidR="00EA0C8C" w:rsidRPr="00EA0C8C" w:rsidRDefault="00EA0C8C" w:rsidP="00EA0C8C">
            <w:pPr>
              <w:jc w:val="left"/>
              <w:rPr>
                <w:sz w:val="16"/>
              </w:rPr>
            </w:pPr>
            <w:r w:rsidRPr="00EA0C8C">
              <w:rPr>
                <w:sz w:val="16"/>
              </w:rPr>
              <w:t>PO</w:t>
            </w:r>
          </w:p>
        </w:tc>
        <w:tc>
          <w:tcPr>
            <w:tcW w:w="2486" w:type="dxa"/>
          </w:tcPr>
          <w:p w14:paraId="6CC290D0" w14:textId="75729B3D" w:rsidR="00EA0C8C" w:rsidRPr="00EA0C8C" w:rsidRDefault="00EA0C8C" w:rsidP="00231058">
            <w:pPr>
              <w:jc w:val="left"/>
              <w:rPr>
                <w:sz w:val="16"/>
              </w:rPr>
            </w:pPr>
            <w:r w:rsidRPr="00EA0C8C">
              <w:rPr>
                <w:sz w:val="16"/>
              </w:rPr>
              <w:t xml:space="preserve">Final </w:t>
            </w:r>
            <w:r w:rsidR="00231058">
              <w:rPr>
                <w:sz w:val="16"/>
              </w:rPr>
              <w:t>P</w:t>
            </w:r>
            <w:r w:rsidRPr="00EA0C8C">
              <w:rPr>
                <w:sz w:val="16"/>
              </w:rPr>
              <w:t xml:space="preserve">rogramme </w:t>
            </w:r>
            <w:r w:rsidR="00231058">
              <w:rPr>
                <w:sz w:val="16"/>
              </w:rPr>
              <w:t>R</w:t>
            </w:r>
            <w:r w:rsidRPr="00EA0C8C">
              <w:rPr>
                <w:sz w:val="16"/>
              </w:rPr>
              <w:t xml:space="preserve">eport </w:t>
            </w:r>
          </w:p>
        </w:tc>
        <w:tc>
          <w:tcPr>
            <w:tcW w:w="2694" w:type="dxa"/>
          </w:tcPr>
          <w:p w14:paraId="7F3A66A2" w14:textId="77777777" w:rsidR="00EA0C8C" w:rsidRPr="00EA0C8C" w:rsidRDefault="00EA0C8C" w:rsidP="00EA0C8C">
            <w:pPr>
              <w:jc w:val="left"/>
              <w:rPr>
                <w:sz w:val="16"/>
              </w:rPr>
            </w:pPr>
            <w:r w:rsidRPr="00EA0C8C">
              <w:rPr>
                <w:sz w:val="16"/>
              </w:rPr>
              <w:t>30 April 2025 (four months after the final date of eligibility of programme management cost)</w:t>
            </w:r>
          </w:p>
        </w:tc>
        <w:tc>
          <w:tcPr>
            <w:tcW w:w="3260" w:type="dxa"/>
          </w:tcPr>
          <w:p w14:paraId="7E80446B" w14:textId="77777777" w:rsidR="00EA0C8C" w:rsidRPr="00EA0C8C" w:rsidRDefault="00EA0C8C" w:rsidP="00EA0C8C">
            <w:pPr>
              <w:jc w:val="left"/>
              <w:rPr>
                <w:sz w:val="16"/>
              </w:rPr>
            </w:pPr>
          </w:p>
        </w:tc>
      </w:tr>
      <w:tr w:rsidR="00EA0C8C" w:rsidRPr="00EA0C8C" w14:paraId="040A8420" w14:textId="77777777" w:rsidTr="0069092A">
        <w:trPr>
          <w:trHeight w:val="20"/>
        </w:trPr>
        <w:tc>
          <w:tcPr>
            <w:tcW w:w="993" w:type="dxa"/>
          </w:tcPr>
          <w:p w14:paraId="01C7B717" w14:textId="77777777" w:rsidR="00EA0C8C" w:rsidRPr="00EA0C8C" w:rsidRDefault="00EA0C8C" w:rsidP="00EA0C8C">
            <w:pPr>
              <w:jc w:val="left"/>
              <w:rPr>
                <w:sz w:val="16"/>
              </w:rPr>
            </w:pPr>
            <w:r w:rsidRPr="00EA0C8C">
              <w:rPr>
                <w:sz w:val="16"/>
              </w:rPr>
              <w:t>2.6.3</w:t>
            </w:r>
          </w:p>
        </w:tc>
        <w:tc>
          <w:tcPr>
            <w:tcW w:w="1199" w:type="dxa"/>
          </w:tcPr>
          <w:p w14:paraId="65C7919E" w14:textId="77777777" w:rsidR="00EA0C8C" w:rsidRPr="00EA0C8C" w:rsidRDefault="00EA0C8C" w:rsidP="00EA0C8C">
            <w:pPr>
              <w:jc w:val="left"/>
              <w:rPr>
                <w:sz w:val="16"/>
              </w:rPr>
            </w:pPr>
            <w:r w:rsidRPr="00EA0C8C">
              <w:rPr>
                <w:sz w:val="16"/>
              </w:rPr>
              <w:t>NFP</w:t>
            </w:r>
          </w:p>
        </w:tc>
        <w:tc>
          <w:tcPr>
            <w:tcW w:w="2486" w:type="dxa"/>
          </w:tcPr>
          <w:p w14:paraId="342A574F" w14:textId="77777777" w:rsidR="00EA0C8C" w:rsidRPr="00EA0C8C" w:rsidRDefault="00EA0C8C" w:rsidP="00EA0C8C">
            <w:pPr>
              <w:jc w:val="left"/>
              <w:rPr>
                <w:sz w:val="16"/>
              </w:rPr>
            </w:pPr>
            <w:r w:rsidRPr="00EA0C8C">
              <w:rPr>
                <w:sz w:val="16"/>
              </w:rPr>
              <w:t>Annual strategic report</w:t>
            </w:r>
          </w:p>
        </w:tc>
        <w:tc>
          <w:tcPr>
            <w:tcW w:w="2694" w:type="dxa"/>
          </w:tcPr>
          <w:p w14:paraId="5764344F" w14:textId="77777777" w:rsidR="00EA0C8C" w:rsidRPr="00EA0C8C" w:rsidRDefault="00EA0C8C" w:rsidP="00EA0C8C">
            <w:pPr>
              <w:jc w:val="left"/>
              <w:rPr>
                <w:sz w:val="16"/>
              </w:rPr>
            </w:pPr>
            <w:r w:rsidRPr="00EA0C8C">
              <w:rPr>
                <w:sz w:val="16"/>
              </w:rPr>
              <w:t>Two months before the annual meeting</w:t>
            </w:r>
          </w:p>
        </w:tc>
        <w:tc>
          <w:tcPr>
            <w:tcW w:w="3260" w:type="dxa"/>
          </w:tcPr>
          <w:p w14:paraId="3A37A6E5" w14:textId="77777777" w:rsidR="00EA0C8C" w:rsidRPr="00EA0C8C" w:rsidRDefault="00EA0C8C" w:rsidP="00EA0C8C">
            <w:pPr>
              <w:jc w:val="left"/>
              <w:rPr>
                <w:sz w:val="16"/>
              </w:rPr>
            </w:pPr>
          </w:p>
        </w:tc>
      </w:tr>
      <w:tr w:rsidR="00EA0C8C" w:rsidRPr="00EA0C8C" w14:paraId="7C5670E2" w14:textId="77777777" w:rsidTr="0069092A">
        <w:trPr>
          <w:trHeight w:val="20"/>
        </w:trPr>
        <w:tc>
          <w:tcPr>
            <w:tcW w:w="993" w:type="dxa"/>
          </w:tcPr>
          <w:p w14:paraId="227B6671" w14:textId="77777777" w:rsidR="00EA0C8C" w:rsidRPr="00EA0C8C" w:rsidRDefault="00EA0C8C" w:rsidP="00EA0C8C">
            <w:pPr>
              <w:jc w:val="left"/>
              <w:rPr>
                <w:sz w:val="16"/>
              </w:rPr>
            </w:pPr>
            <w:r w:rsidRPr="00EA0C8C">
              <w:rPr>
                <w:sz w:val="16"/>
              </w:rPr>
              <w:t>2.6.4</w:t>
            </w:r>
          </w:p>
        </w:tc>
        <w:tc>
          <w:tcPr>
            <w:tcW w:w="1199" w:type="dxa"/>
          </w:tcPr>
          <w:p w14:paraId="7315B3F8" w14:textId="77777777" w:rsidR="00EA0C8C" w:rsidRPr="00EA0C8C" w:rsidRDefault="00EA0C8C" w:rsidP="00EA0C8C">
            <w:pPr>
              <w:jc w:val="left"/>
              <w:rPr>
                <w:sz w:val="16"/>
              </w:rPr>
            </w:pPr>
            <w:r w:rsidRPr="00EA0C8C">
              <w:rPr>
                <w:sz w:val="16"/>
              </w:rPr>
              <w:t>NFP</w:t>
            </w:r>
          </w:p>
        </w:tc>
        <w:tc>
          <w:tcPr>
            <w:tcW w:w="2486" w:type="dxa"/>
          </w:tcPr>
          <w:p w14:paraId="22A636C5" w14:textId="77777777" w:rsidR="00EA0C8C" w:rsidRPr="00EA0C8C" w:rsidRDefault="00EA0C8C" w:rsidP="00EA0C8C">
            <w:pPr>
              <w:jc w:val="left"/>
              <w:rPr>
                <w:sz w:val="16"/>
              </w:rPr>
            </w:pPr>
            <w:r w:rsidRPr="00EA0C8C">
              <w:rPr>
                <w:sz w:val="16"/>
              </w:rPr>
              <w:t>Final strategic report</w:t>
            </w:r>
          </w:p>
        </w:tc>
        <w:tc>
          <w:tcPr>
            <w:tcW w:w="2694" w:type="dxa"/>
          </w:tcPr>
          <w:p w14:paraId="5D8FD8D7" w14:textId="77777777" w:rsidR="00EA0C8C" w:rsidRPr="00EA0C8C" w:rsidRDefault="00EA0C8C" w:rsidP="00EA0C8C">
            <w:pPr>
              <w:jc w:val="left"/>
              <w:rPr>
                <w:sz w:val="16"/>
              </w:rPr>
            </w:pPr>
            <w:r w:rsidRPr="00EA0C8C">
              <w:rPr>
                <w:sz w:val="16"/>
              </w:rPr>
              <w:t>31 August 2025</w:t>
            </w:r>
          </w:p>
        </w:tc>
        <w:tc>
          <w:tcPr>
            <w:tcW w:w="3260" w:type="dxa"/>
          </w:tcPr>
          <w:p w14:paraId="727E8F90" w14:textId="77777777" w:rsidR="00EA0C8C" w:rsidRPr="00EA0C8C" w:rsidRDefault="00EA0C8C" w:rsidP="00EA0C8C">
            <w:pPr>
              <w:jc w:val="left"/>
              <w:rPr>
                <w:sz w:val="16"/>
              </w:rPr>
            </w:pPr>
          </w:p>
        </w:tc>
      </w:tr>
      <w:tr w:rsidR="00EA0C8C" w:rsidRPr="00EA0C8C" w14:paraId="5281EFC4" w14:textId="77777777" w:rsidTr="0069092A">
        <w:trPr>
          <w:trHeight w:val="20"/>
        </w:trPr>
        <w:tc>
          <w:tcPr>
            <w:tcW w:w="993" w:type="dxa"/>
          </w:tcPr>
          <w:p w14:paraId="1B358BC2" w14:textId="77777777" w:rsidR="00EA0C8C" w:rsidRPr="00EA0C8C" w:rsidRDefault="00EA0C8C" w:rsidP="00EA0C8C">
            <w:pPr>
              <w:jc w:val="left"/>
              <w:rPr>
                <w:sz w:val="16"/>
              </w:rPr>
            </w:pPr>
            <w:r w:rsidRPr="00EA0C8C">
              <w:rPr>
                <w:sz w:val="16"/>
              </w:rPr>
              <w:t>8.11.10</w:t>
            </w:r>
          </w:p>
        </w:tc>
        <w:tc>
          <w:tcPr>
            <w:tcW w:w="1199" w:type="dxa"/>
          </w:tcPr>
          <w:p w14:paraId="703F5C7A" w14:textId="77777777" w:rsidR="00EA0C8C" w:rsidRPr="00EA0C8C" w:rsidRDefault="00EA0C8C" w:rsidP="00EA0C8C">
            <w:pPr>
              <w:jc w:val="left"/>
              <w:rPr>
                <w:sz w:val="16"/>
              </w:rPr>
            </w:pPr>
            <w:r w:rsidRPr="00EA0C8C">
              <w:rPr>
                <w:sz w:val="16"/>
              </w:rPr>
              <w:t>NFP</w:t>
            </w:r>
          </w:p>
        </w:tc>
        <w:tc>
          <w:tcPr>
            <w:tcW w:w="2486" w:type="dxa"/>
          </w:tcPr>
          <w:p w14:paraId="49CBADB4" w14:textId="77777777" w:rsidR="00EA0C8C" w:rsidRPr="00EA0C8C" w:rsidRDefault="00EA0C8C" w:rsidP="00EA0C8C">
            <w:pPr>
              <w:jc w:val="left"/>
              <w:rPr>
                <w:sz w:val="16"/>
              </w:rPr>
            </w:pPr>
            <w:r w:rsidRPr="00EA0C8C">
              <w:rPr>
                <w:sz w:val="16"/>
              </w:rPr>
              <w:t>Final TA report</w:t>
            </w:r>
          </w:p>
        </w:tc>
        <w:tc>
          <w:tcPr>
            <w:tcW w:w="2694" w:type="dxa"/>
          </w:tcPr>
          <w:p w14:paraId="25D3B61F" w14:textId="77777777" w:rsidR="00EA0C8C" w:rsidRPr="00EA0C8C" w:rsidRDefault="00EA0C8C" w:rsidP="00EA0C8C">
            <w:pPr>
              <w:jc w:val="left"/>
              <w:rPr>
                <w:sz w:val="16"/>
              </w:rPr>
            </w:pPr>
            <w:r w:rsidRPr="00EA0C8C">
              <w:rPr>
                <w:sz w:val="16"/>
              </w:rPr>
              <w:t>15 November 2025</w:t>
            </w:r>
          </w:p>
        </w:tc>
        <w:tc>
          <w:tcPr>
            <w:tcW w:w="3260" w:type="dxa"/>
          </w:tcPr>
          <w:p w14:paraId="45FE9409" w14:textId="77777777" w:rsidR="00EA0C8C" w:rsidRPr="00EA0C8C" w:rsidRDefault="00EA0C8C" w:rsidP="00EA0C8C">
            <w:pPr>
              <w:jc w:val="left"/>
              <w:rPr>
                <w:sz w:val="16"/>
              </w:rPr>
            </w:pPr>
          </w:p>
        </w:tc>
      </w:tr>
      <w:tr w:rsidR="00EA0C8C" w:rsidRPr="00EA0C8C" w14:paraId="66E55AD7" w14:textId="77777777" w:rsidTr="0069092A">
        <w:trPr>
          <w:trHeight w:val="20"/>
        </w:trPr>
        <w:tc>
          <w:tcPr>
            <w:tcW w:w="993" w:type="dxa"/>
          </w:tcPr>
          <w:p w14:paraId="5DD80B84" w14:textId="77777777" w:rsidR="00EA0C8C" w:rsidRPr="00EA0C8C" w:rsidRDefault="00EA0C8C" w:rsidP="00EA0C8C">
            <w:pPr>
              <w:jc w:val="left"/>
              <w:rPr>
                <w:sz w:val="16"/>
              </w:rPr>
            </w:pPr>
            <w:r w:rsidRPr="00EA0C8C">
              <w:rPr>
                <w:sz w:val="16"/>
              </w:rPr>
              <w:t>7.3.5</w:t>
            </w:r>
          </w:p>
        </w:tc>
        <w:tc>
          <w:tcPr>
            <w:tcW w:w="1199" w:type="dxa"/>
          </w:tcPr>
          <w:p w14:paraId="443EB493" w14:textId="77777777" w:rsidR="00EA0C8C" w:rsidRPr="00EA0C8C" w:rsidRDefault="00EA0C8C" w:rsidP="00EA0C8C">
            <w:pPr>
              <w:jc w:val="left"/>
              <w:rPr>
                <w:sz w:val="16"/>
              </w:rPr>
            </w:pPr>
            <w:r w:rsidRPr="00EA0C8C">
              <w:rPr>
                <w:sz w:val="16"/>
              </w:rPr>
              <w:t>NFP/PO</w:t>
            </w:r>
          </w:p>
        </w:tc>
        <w:tc>
          <w:tcPr>
            <w:tcW w:w="2486" w:type="dxa"/>
          </w:tcPr>
          <w:p w14:paraId="34A23B47" w14:textId="77777777" w:rsidR="00EA0C8C" w:rsidRPr="00EA0C8C" w:rsidRDefault="00EA0C8C" w:rsidP="00EA0C8C">
            <w:pPr>
              <w:jc w:val="left"/>
              <w:rPr>
                <w:sz w:val="16"/>
              </w:rPr>
            </w:pPr>
            <w:r w:rsidRPr="00EA0C8C">
              <w:rPr>
                <w:sz w:val="16"/>
              </w:rPr>
              <w:t>Call for proposals</w:t>
            </w:r>
          </w:p>
        </w:tc>
        <w:tc>
          <w:tcPr>
            <w:tcW w:w="2694" w:type="dxa"/>
          </w:tcPr>
          <w:p w14:paraId="4EC8DE65" w14:textId="77777777" w:rsidR="00EA0C8C" w:rsidRPr="00EA0C8C" w:rsidRDefault="00EA0C8C" w:rsidP="00EA0C8C">
            <w:pPr>
              <w:jc w:val="left"/>
              <w:rPr>
                <w:sz w:val="16"/>
              </w:rPr>
            </w:pPr>
            <w:r w:rsidRPr="00EA0C8C">
              <w:rPr>
                <w:sz w:val="16"/>
              </w:rPr>
              <w:t xml:space="preserve">Two weeks before the publishing </w:t>
            </w:r>
          </w:p>
        </w:tc>
        <w:tc>
          <w:tcPr>
            <w:tcW w:w="3260" w:type="dxa"/>
          </w:tcPr>
          <w:p w14:paraId="0B08AD19" w14:textId="77777777" w:rsidR="00EA0C8C" w:rsidRPr="00EA0C8C" w:rsidRDefault="00EA0C8C" w:rsidP="00EA0C8C">
            <w:pPr>
              <w:jc w:val="left"/>
              <w:rPr>
                <w:sz w:val="16"/>
              </w:rPr>
            </w:pPr>
          </w:p>
        </w:tc>
      </w:tr>
      <w:tr w:rsidR="00EA0C8C" w:rsidRPr="00EA0C8C" w14:paraId="4F6FB8B8" w14:textId="77777777" w:rsidTr="0069092A">
        <w:trPr>
          <w:trHeight w:val="20"/>
        </w:trPr>
        <w:tc>
          <w:tcPr>
            <w:tcW w:w="993" w:type="dxa"/>
          </w:tcPr>
          <w:p w14:paraId="07DAE43E" w14:textId="77777777" w:rsidR="00EA0C8C" w:rsidRPr="00EA0C8C" w:rsidRDefault="00EA0C8C" w:rsidP="00EA0C8C">
            <w:pPr>
              <w:jc w:val="left"/>
              <w:rPr>
                <w:sz w:val="16"/>
              </w:rPr>
            </w:pPr>
            <w:r w:rsidRPr="00EA0C8C">
              <w:rPr>
                <w:sz w:val="16"/>
              </w:rPr>
              <w:t>7.4.6</w:t>
            </w:r>
          </w:p>
        </w:tc>
        <w:tc>
          <w:tcPr>
            <w:tcW w:w="1199" w:type="dxa"/>
          </w:tcPr>
          <w:p w14:paraId="7372D4D8" w14:textId="77777777" w:rsidR="00EA0C8C" w:rsidRPr="00EA0C8C" w:rsidRDefault="00EA0C8C" w:rsidP="00EA0C8C">
            <w:pPr>
              <w:jc w:val="left"/>
              <w:rPr>
                <w:sz w:val="16"/>
              </w:rPr>
            </w:pPr>
            <w:r w:rsidRPr="00EA0C8C">
              <w:rPr>
                <w:sz w:val="16"/>
              </w:rPr>
              <w:t>PO</w:t>
            </w:r>
          </w:p>
        </w:tc>
        <w:tc>
          <w:tcPr>
            <w:tcW w:w="2486" w:type="dxa"/>
          </w:tcPr>
          <w:p w14:paraId="175C56C3" w14:textId="77777777" w:rsidR="00EA0C8C" w:rsidRPr="00EA0C8C" w:rsidRDefault="00EA0C8C" w:rsidP="00EA0C8C">
            <w:pPr>
              <w:jc w:val="left"/>
              <w:rPr>
                <w:sz w:val="16"/>
              </w:rPr>
            </w:pPr>
            <w:r w:rsidRPr="00EA0C8C">
              <w:rPr>
                <w:sz w:val="16"/>
              </w:rPr>
              <w:t>List of selected projects</w:t>
            </w:r>
          </w:p>
        </w:tc>
        <w:tc>
          <w:tcPr>
            <w:tcW w:w="2694" w:type="dxa"/>
          </w:tcPr>
          <w:p w14:paraId="4C7926B8" w14:textId="77777777" w:rsidR="00EA0C8C" w:rsidRPr="00EA0C8C" w:rsidRDefault="00EA0C8C" w:rsidP="00EA0C8C">
            <w:pPr>
              <w:jc w:val="left"/>
              <w:rPr>
                <w:sz w:val="16"/>
              </w:rPr>
            </w:pPr>
            <w:r w:rsidRPr="00EA0C8C">
              <w:rPr>
                <w:sz w:val="16"/>
              </w:rPr>
              <w:t>No later than two weeks after decision</w:t>
            </w:r>
          </w:p>
        </w:tc>
        <w:tc>
          <w:tcPr>
            <w:tcW w:w="3260" w:type="dxa"/>
          </w:tcPr>
          <w:p w14:paraId="5ECF3D4E" w14:textId="77777777" w:rsidR="00EA0C8C" w:rsidRPr="00EA0C8C" w:rsidRDefault="00EA0C8C" w:rsidP="00EA0C8C">
            <w:pPr>
              <w:jc w:val="left"/>
              <w:rPr>
                <w:sz w:val="16"/>
              </w:rPr>
            </w:pPr>
          </w:p>
        </w:tc>
      </w:tr>
      <w:tr w:rsidR="00EA0C8C" w:rsidRPr="00EA0C8C" w14:paraId="35B0A312" w14:textId="77777777" w:rsidTr="0069092A">
        <w:trPr>
          <w:trHeight w:val="20"/>
        </w:trPr>
        <w:tc>
          <w:tcPr>
            <w:tcW w:w="993" w:type="dxa"/>
          </w:tcPr>
          <w:p w14:paraId="0C0E4D74" w14:textId="77777777" w:rsidR="00EA0C8C" w:rsidRPr="00EA0C8C" w:rsidRDefault="00EA0C8C" w:rsidP="00EA0C8C">
            <w:pPr>
              <w:jc w:val="left"/>
              <w:rPr>
                <w:sz w:val="16"/>
              </w:rPr>
            </w:pPr>
            <w:r w:rsidRPr="00EA0C8C">
              <w:rPr>
                <w:sz w:val="16"/>
              </w:rPr>
              <w:t>9.3</w:t>
            </w:r>
          </w:p>
        </w:tc>
        <w:tc>
          <w:tcPr>
            <w:tcW w:w="1199" w:type="dxa"/>
          </w:tcPr>
          <w:p w14:paraId="1BBE101E" w14:textId="77777777" w:rsidR="00EA0C8C" w:rsidRPr="00EA0C8C" w:rsidRDefault="00EA0C8C" w:rsidP="00EA0C8C">
            <w:pPr>
              <w:jc w:val="left"/>
              <w:rPr>
                <w:sz w:val="16"/>
              </w:rPr>
            </w:pPr>
            <w:r w:rsidRPr="00EA0C8C">
              <w:rPr>
                <w:sz w:val="16"/>
              </w:rPr>
              <w:t>PO/CA</w:t>
            </w:r>
          </w:p>
        </w:tc>
        <w:tc>
          <w:tcPr>
            <w:tcW w:w="2486" w:type="dxa"/>
          </w:tcPr>
          <w:p w14:paraId="657D127B" w14:textId="77777777" w:rsidR="00EA0C8C" w:rsidRPr="00EA0C8C" w:rsidRDefault="00EA0C8C" w:rsidP="00EA0C8C">
            <w:pPr>
              <w:jc w:val="left"/>
              <w:rPr>
                <w:sz w:val="16"/>
              </w:rPr>
            </w:pPr>
            <w:r w:rsidRPr="00EA0C8C">
              <w:rPr>
                <w:sz w:val="16"/>
              </w:rPr>
              <w:t>IFR</w:t>
            </w:r>
          </w:p>
        </w:tc>
        <w:tc>
          <w:tcPr>
            <w:tcW w:w="2694" w:type="dxa"/>
          </w:tcPr>
          <w:p w14:paraId="0A3AF2BF" w14:textId="77777777" w:rsidR="00EA0C8C" w:rsidRPr="00EA0C8C" w:rsidRDefault="00EA0C8C" w:rsidP="00EA0C8C">
            <w:pPr>
              <w:jc w:val="left"/>
              <w:rPr>
                <w:sz w:val="16"/>
              </w:rPr>
            </w:pPr>
            <w:r w:rsidRPr="00EA0C8C">
              <w:rPr>
                <w:sz w:val="16"/>
              </w:rPr>
              <w:t>15 March, 15 September</w:t>
            </w:r>
          </w:p>
        </w:tc>
        <w:tc>
          <w:tcPr>
            <w:tcW w:w="3260" w:type="dxa"/>
          </w:tcPr>
          <w:p w14:paraId="127F38BF" w14:textId="77777777" w:rsidR="00EA0C8C" w:rsidRPr="00EA0C8C" w:rsidRDefault="00EA0C8C" w:rsidP="00EA0C8C">
            <w:pPr>
              <w:jc w:val="left"/>
              <w:rPr>
                <w:sz w:val="16"/>
              </w:rPr>
            </w:pPr>
          </w:p>
        </w:tc>
      </w:tr>
      <w:tr w:rsidR="00EA0C8C" w:rsidRPr="00EA0C8C" w14:paraId="554A37C3" w14:textId="77777777" w:rsidTr="0069092A">
        <w:trPr>
          <w:trHeight w:val="20"/>
        </w:trPr>
        <w:tc>
          <w:tcPr>
            <w:tcW w:w="993" w:type="dxa"/>
          </w:tcPr>
          <w:p w14:paraId="546CBF68" w14:textId="77777777" w:rsidR="00EA0C8C" w:rsidRPr="00EA0C8C" w:rsidRDefault="00EA0C8C" w:rsidP="00EA0C8C">
            <w:pPr>
              <w:jc w:val="left"/>
              <w:rPr>
                <w:sz w:val="16"/>
              </w:rPr>
            </w:pPr>
            <w:r w:rsidRPr="00EA0C8C">
              <w:rPr>
                <w:sz w:val="16"/>
              </w:rPr>
              <w:t>9.4.3.</w:t>
            </w:r>
          </w:p>
        </w:tc>
        <w:tc>
          <w:tcPr>
            <w:tcW w:w="1199" w:type="dxa"/>
          </w:tcPr>
          <w:p w14:paraId="6AF7D8C3" w14:textId="77777777" w:rsidR="00EA0C8C" w:rsidRPr="00EA0C8C" w:rsidRDefault="00EA0C8C" w:rsidP="00EA0C8C">
            <w:pPr>
              <w:jc w:val="left"/>
              <w:rPr>
                <w:sz w:val="16"/>
              </w:rPr>
            </w:pPr>
            <w:r w:rsidRPr="00EA0C8C">
              <w:rPr>
                <w:sz w:val="16"/>
              </w:rPr>
              <w:t>PO/CA</w:t>
            </w:r>
          </w:p>
        </w:tc>
        <w:tc>
          <w:tcPr>
            <w:tcW w:w="2486" w:type="dxa"/>
          </w:tcPr>
          <w:p w14:paraId="4143A4D4" w14:textId="77777777" w:rsidR="00EA0C8C" w:rsidRPr="00EA0C8C" w:rsidRDefault="00EA0C8C" w:rsidP="00EA0C8C">
            <w:pPr>
              <w:jc w:val="left"/>
              <w:rPr>
                <w:sz w:val="16"/>
              </w:rPr>
            </w:pPr>
            <w:r w:rsidRPr="00EA0C8C">
              <w:rPr>
                <w:sz w:val="16"/>
              </w:rPr>
              <w:t>Final balance</w:t>
            </w:r>
          </w:p>
        </w:tc>
        <w:tc>
          <w:tcPr>
            <w:tcW w:w="2694" w:type="dxa"/>
          </w:tcPr>
          <w:p w14:paraId="5B1739BF" w14:textId="6EA066B6" w:rsidR="00EA0C8C" w:rsidRPr="00EA0C8C" w:rsidRDefault="007A1507" w:rsidP="007A1507">
            <w:pPr>
              <w:jc w:val="left"/>
              <w:rPr>
                <w:sz w:val="16"/>
              </w:rPr>
            </w:pPr>
            <w:r>
              <w:rPr>
                <w:sz w:val="16"/>
              </w:rPr>
              <w:t>With F</w:t>
            </w:r>
            <w:r w:rsidR="00EA0C8C" w:rsidRPr="00EA0C8C">
              <w:rPr>
                <w:sz w:val="16"/>
              </w:rPr>
              <w:t xml:space="preserve">inal </w:t>
            </w:r>
            <w:r>
              <w:rPr>
                <w:sz w:val="16"/>
              </w:rPr>
              <w:t>P</w:t>
            </w:r>
            <w:r w:rsidR="00EA0C8C" w:rsidRPr="00EA0C8C">
              <w:rPr>
                <w:sz w:val="16"/>
              </w:rPr>
              <w:t xml:space="preserve">rogramme </w:t>
            </w:r>
            <w:r>
              <w:rPr>
                <w:sz w:val="16"/>
              </w:rPr>
              <w:t>R</w:t>
            </w:r>
            <w:r w:rsidR="00EA0C8C" w:rsidRPr="00EA0C8C">
              <w:rPr>
                <w:sz w:val="16"/>
              </w:rPr>
              <w:t>eport (30 April 20205)</w:t>
            </w:r>
          </w:p>
        </w:tc>
        <w:tc>
          <w:tcPr>
            <w:tcW w:w="3260" w:type="dxa"/>
          </w:tcPr>
          <w:p w14:paraId="250F4156" w14:textId="77777777" w:rsidR="00EA0C8C" w:rsidRPr="00EA0C8C" w:rsidRDefault="00EA0C8C" w:rsidP="00EA0C8C">
            <w:pPr>
              <w:jc w:val="left"/>
              <w:rPr>
                <w:sz w:val="16"/>
              </w:rPr>
            </w:pPr>
          </w:p>
        </w:tc>
      </w:tr>
      <w:tr w:rsidR="00EA0C8C" w:rsidRPr="00EA0C8C" w14:paraId="3F12FD6D" w14:textId="77777777" w:rsidTr="0069092A">
        <w:trPr>
          <w:trHeight w:val="20"/>
        </w:trPr>
        <w:tc>
          <w:tcPr>
            <w:tcW w:w="993" w:type="dxa"/>
          </w:tcPr>
          <w:p w14:paraId="1B4A2489" w14:textId="77777777" w:rsidR="00EA0C8C" w:rsidRPr="00EA0C8C" w:rsidRDefault="00EA0C8C" w:rsidP="00EA0C8C">
            <w:pPr>
              <w:jc w:val="left"/>
              <w:rPr>
                <w:sz w:val="16"/>
              </w:rPr>
            </w:pPr>
            <w:r w:rsidRPr="00EA0C8C">
              <w:rPr>
                <w:sz w:val="16"/>
              </w:rPr>
              <w:t>5.5.1 (d)</w:t>
            </w:r>
          </w:p>
        </w:tc>
        <w:tc>
          <w:tcPr>
            <w:tcW w:w="1199" w:type="dxa"/>
          </w:tcPr>
          <w:p w14:paraId="06685671" w14:textId="77777777" w:rsidR="00EA0C8C" w:rsidRPr="00EA0C8C" w:rsidRDefault="00EA0C8C" w:rsidP="00EA0C8C">
            <w:pPr>
              <w:jc w:val="left"/>
              <w:rPr>
                <w:sz w:val="16"/>
              </w:rPr>
            </w:pPr>
            <w:r w:rsidRPr="00EA0C8C">
              <w:rPr>
                <w:sz w:val="16"/>
              </w:rPr>
              <w:t>AA</w:t>
            </w:r>
          </w:p>
        </w:tc>
        <w:tc>
          <w:tcPr>
            <w:tcW w:w="2486" w:type="dxa"/>
          </w:tcPr>
          <w:p w14:paraId="6BC8E924" w14:textId="77777777" w:rsidR="00EA0C8C" w:rsidRPr="00EA0C8C" w:rsidRDefault="00EA0C8C" w:rsidP="00EA0C8C">
            <w:pPr>
              <w:jc w:val="left"/>
              <w:rPr>
                <w:sz w:val="16"/>
              </w:rPr>
            </w:pPr>
            <w:r w:rsidRPr="00EA0C8C">
              <w:rPr>
                <w:sz w:val="16"/>
              </w:rPr>
              <w:t>Audit strategy</w:t>
            </w:r>
          </w:p>
        </w:tc>
        <w:tc>
          <w:tcPr>
            <w:tcW w:w="2694" w:type="dxa"/>
          </w:tcPr>
          <w:p w14:paraId="15A4FDD8" w14:textId="77777777" w:rsidR="00EA0C8C" w:rsidRPr="00EA0C8C" w:rsidRDefault="00EA0C8C" w:rsidP="00EA0C8C">
            <w:pPr>
              <w:jc w:val="left"/>
              <w:rPr>
                <w:sz w:val="16"/>
              </w:rPr>
            </w:pPr>
            <w:r w:rsidRPr="00EA0C8C">
              <w:rPr>
                <w:sz w:val="16"/>
              </w:rPr>
              <w:t>9 months after approval of the last programme</w:t>
            </w:r>
          </w:p>
        </w:tc>
        <w:tc>
          <w:tcPr>
            <w:tcW w:w="3260" w:type="dxa"/>
          </w:tcPr>
          <w:p w14:paraId="75AB135E" w14:textId="77777777" w:rsidR="00EA0C8C" w:rsidRPr="00EA0C8C" w:rsidRDefault="00EA0C8C" w:rsidP="00EA0C8C">
            <w:pPr>
              <w:jc w:val="left"/>
              <w:rPr>
                <w:sz w:val="16"/>
              </w:rPr>
            </w:pPr>
          </w:p>
        </w:tc>
      </w:tr>
      <w:tr w:rsidR="00EA0C8C" w:rsidRPr="00EA0C8C" w14:paraId="155DA631" w14:textId="77777777" w:rsidTr="0069092A">
        <w:trPr>
          <w:trHeight w:val="20"/>
        </w:trPr>
        <w:tc>
          <w:tcPr>
            <w:tcW w:w="993" w:type="dxa"/>
          </w:tcPr>
          <w:p w14:paraId="5691173D" w14:textId="77777777" w:rsidR="00EA0C8C" w:rsidRPr="00EA0C8C" w:rsidRDefault="00EA0C8C" w:rsidP="00EA0C8C">
            <w:pPr>
              <w:jc w:val="left"/>
              <w:rPr>
                <w:sz w:val="16"/>
              </w:rPr>
            </w:pPr>
            <w:r w:rsidRPr="00EA0C8C">
              <w:rPr>
                <w:sz w:val="16"/>
              </w:rPr>
              <w:t>5.5.1 (e) i</w:t>
            </w:r>
          </w:p>
        </w:tc>
        <w:tc>
          <w:tcPr>
            <w:tcW w:w="1199" w:type="dxa"/>
          </w:tcPr>
          <w:p w14:paraId="1735546E" w14:textId="77777777" w:rsidR="00EA0C8C" w:rsidRPr="00EA0C8C" w:rsidRDefault="00EA0C8C" w:rsidP="00EA0C8C">
            <w:pPr>
              <w:jc w:val="left"/>
              <w:rPr>
                <w:sz w:val="16"/>
              </w:rPr>
            </w:pPr>
            <w:r w:rsidRPr="00EA0C8C">
              <w:rPr>
                <w:sz w:val="16"/>
              </w:rPr>
              <w:t>AA</w:t>
            </w:r>
          </w:p>
        </w:tc>
        <w:tc>
          <w:tcPr>
            <w:tcW w:w="2486" w:type="dxa"/>
          </w:tcPr>
          <w:p w14:paraId="73F4CE8F" w14:textId="77777777" w:rsidR="00EA0C8C" w:rsidRPr="00EA0C8C" w:rsidRDefault="00EA0C8C" w:rsidP="00EA0C8C">
            <w:pPr>
              <w:jc w:val="left"/>
              <w:rPr>
                <w:sz w:val="16"/>
              </w:rPr>
            </w:pPr>
            <w:r w:rsidRPr="00EA0C8C">
              <w:rPr>
                <w:sz w:val="16"/>
              </w:rPr>
              <w:t>Annual audit report</w:t>
            </w:r>
          </w:p>
        </w:tc>
        <w:tc>
          <w:tcPr>
            <w:tcW w:w="2694" w:type="dxa"/>
          </w:tcPr>
          <w:p w14:paraId="11A5328C" w14:textId="77777777" w:rsidR="00EA0C8C" w:rsidRPr="00EA0C8C" w:rsidRDefault="00EA0C8C" w:rsidP="00EA0C8C">
            <w:pPr>
              <w:jc w:val="left"/>
              <w:rPr>
                <w:sz w:val="16"/>
              </w:rPr>
            </w:pPr>
            <w:r w:rsidRPr="00EA0C8C">
              <w:rPr>
                <w:sz w:val="16"/>
              </w:rPr>
              <w:t>15 February each year</w:t>
            </w:r>
          </w:p>
        </w:tc>
        <w:tc>
          <w:tcPr>
            <w:tcW w:w="3260" w:type="dxa"/>
          </w:tcPr>
          <w:p w14:paraId="0990DC3C" w14:textId="77777777" w:rsidR="00EA0C8C" w:rsidRPr="00EA0C8C" w:rsidRDefault="00EA0C8C" w:rsidP="00EA0C8C">
            <w:pPr>
              <w:jc w:val="left"/>
              <w:rPr>
                <w:sz w:val="16"/>
              </w:rPr>
            </w:pPr>
          </w:p>
        </w:tc>
      </w:tr>
      <w:tr w:rsidR="00EA0C8C" w:rsidRPr="00EA0C8C" w14:paraId="05C39677" w14:textId="77777777" w:rsidTr="0069092A">
        <w:trPr>
          <w:trHeight w:val="20"/>
        </w:trPr>
        <w:tc>
          <w:tcPr>
            <w:tcW w:w="993" w:type="dxa"/>
          </w:tcPr>
          <w:p w14:paraId="44BD68B6" w14:textId="77777777" w:rsidR="00EA0C8C" w:rsidRPr="00EA0C8C" w:rsidRDefault="00EA0C8C" w:rsidP="00EA0C8C">
            <w:pPr>
              <w:jc w:val="left"/>
              <w:rPr>
                <w:sz w:val="16"/>
              </w:rPr>
            </w:pPr>
            <w:r w:rsidRPr="00EA0C8C">
              <w:rPr>
                <w:sz w:val="16"/>
              </w:rPr>
              <w:t>5.5.1 (e) ii</w:t>
            </w:r>
          </w:p>
        </w:tc>
        <w:tc>
          <w:tcPr>
            <w:tcW w:w="1199" w:type="dxa"/>
          </w:tcPr>
          <w:p w14:paraId="3166EFD3" w14:textId="77777777" w:rsidR="00EA0C8C" w:rsidRPr="00EA0C8C" w:rsidRDefault="00EA0C8C" w:rsidP="00EA0C8C">
            <w:pPr>
              <w:jc w:val="left"/>
              <w:rPr>
                <w:sz w:val="16"/>
              </w:rPr>
            </w:pPr>
            <w:r w:rsidRPr="00EA0C8C">
              <w:rPr>
                <w:sz w:val="16"/>
              </w:rPr>
              <w:t>AA</w:t>
            </w:r>
          </w:p>
        </w:tc>
        <w:tc>
          <w:tcPr>
            <w:tcW w:w="2486" w:type="dxa"/>
          </w:tcPr>
          <w:p w14:paraId="550B4618" w14:textId="77777777" w:rsidR="00EA0C8C" w:rsidRPr="00EA0C8C" w:rsidRDefault="00EA0C8C" w:rsidP="00EA0C8C">
            <w:pPr>
              <w:jc w:val="left"/>
              <w:rPr>
                <w:sz w:val="16"/>
              </w:rPr>
            </w:pPr>
            <w:r w:rsidRPr="00EA0C8C">
              <w:rPr>
                <w:sz w:val="16"/>
              </w:rPr>
              <w:t>Audit opinion on the functioning of MCS</w:t>
            </w:r>
          </w:p>
        </w:tc>
        <w:tc>
          <w:tcPr>
            <w:tcW w:w="2694" w:type="dxa"/>
          </w:tcPr>
          <w:p w14:paraId="2C8CFBC2" w14:textId="77777777" w:rsidR="00EA0C8C" w:rsidRPr="00EA0C8C" w:rsidRDefault="00EA0C8C" w:rsidP="00EA0C8C">
            <w:pPr>
              <w:jc w:val="left"/>
              <w:rPr>
                <w:sz w:val="16"/>
              </w:rPr>
            </w:pPr>
            <w:r w:rsidRPr="00EA0C8C">
              <w:rPr>
                <w:sz w:val="16"/>
              </w:rPr>
              <w:t>15 February each year</w:t>
            </w:r>
          </w:p>
        </w:tc>
        <w:tc>
          <w:tcPr>
            <w:tcW w:w="3260" w:type="dxa"/>
          </w:tcPr>
          <w:p w14:paraId="37A310AD" w14:textId="77777777" w:rsidR="00EA0C8C" w:rsidRPr="00EA0C8C" w:rsidRDefault="00EA0C8C" w:rsidP="00EA0C8C">
            <w:pPr>
              <w:jc w:val="left"/>
              <w:rPr>
                <w:sz w:val="16"/>
              </w:rPr>
            </w:pPr>
          </w:p>
        </w:tc>
      </w:tr>
      <w:tr w:rsidR="00EA0C8C" w:rsidRPr="00EA0C8C" w14:paraId="3E8D7EF8" w14:textId="77777777" w:rsidTr="0069092A">
        <w:trPr>
          <w:trHeight w:val="20"/>
        </w:trPr>
        <w:tc>
          <w:tcPr>
            <w:tcW w:w="993" w:type="dxa"/>
          </w:tcPr>
          <w:p w14:paraId="3B700FFF" w14:textId="77777777" w:rsidR="00EA0C8C" w:rsidRPr="00EA0C8C" w:rsidRDefault="00EA0C8C" w:rsidP="00EA0C8C">
            <w:pPr>
              <w:jc w:val="left"/>
              <w:rPr>
                <w:sz w:val="16"/>
              </w:rPr>
            </w:pPr>
            <w:r w:rsidRPr="00EA0C8C">
              <w:rPr>
                <w:sz w:val="16"/>
              </w:rPr>
              <w:t>9.7.1</w:t>
            </w:r>
          </w:p>
        </w:tc>
        <w:tc>
          <w:tcPr>
            <w:tcW w:w="1199" w:type="dxa"/>
          </w:tcPr>
          <w:p w14:paraId="55228F63" w14:textId="77777777" w:rsidR="00EA0C8C" w:rsidRPr="00EA0C8C" w:rsidRDefault="00EA0C8C" w:rsidP="00EA0C8C">
            <w:pPr>
              <w:jc w:val="left"/>
              <w:rPr>
                <w:sz w:val="16"/>
              </w:rPr>
            </w:pPr>
            <w:r w:rsidRPr="00EA0C8C">
              <w:rPr>
                <w:sz w:val="16"/>
              </w:rPr>
              <w:t>CA(in IFRs)</w:t>
            </w:r>
          </w:p>
        </w:tc>
        <w:tc>
          <w:tcPr>
            <w:tcW w:w="2486" w:type="dxa"/>
          </w:tcPr>
          <w:p w14:paraId="29E3BC6E" w14:textId="77777777" w:rsidR="00EA0C8C" w:rsidRPr="00EA0C8C" w:rsidRDefault="00EA0C8C" w:rsidP="00EA0C8C">
            <w:pPr>
              <w:jc w:val="left"/>
              <w:rPr>
                <w:sz w:val="16"/>
              </w:rPr>
            </w:pPr>
            <w:r w:rsidRPr="00EA0C8C">
              <w:rPr>
                <w:sz w:val="16"/>
              </w:rPr>
              <w:t>Interest</w:t>
            </w:r>
          </w:p>
        </w:tc>
        <w:tc>
          <w:tcPr>
            <w:tcW w:w="2694" w:type="dxa"/>
          </w:tcPr>
          <w:p w14:paraId="20C09E48" w14:textId="77777777" w:rsidR="00EA0C8C" w:rsidRPr="00EA0C8C" w:rsidRDefault="00EA0C8C" w:rsidP="00EA0C8C">
            <w:pPr>
              <w:jc w:val="left"/>
              <w:rPr>
                <w:sz w:val="16"/>
              </w:rPr>
            </w:pPr>
            <w:r w:rsidRPr="00EA0C8C">
              <w:rPr>
                <w:sz w:val="16"/>
              </w:rPr>
              <w:t>Yearly with IFR due on 15 March</w:t>
            </w:r>
          </w:p>
        </w:tc>
        <w:tc>
          <w:tcPr>
            <w:tcW w:w="3260" w:type="dxa"/>
          </w:tcPr>
          <w:p w14:paraId="1884ED3A" w14:textId="77777777" w:rsidR="00EA0C8C" w:rsidRPr="00EA0C8C" w:rsidRDefault="00EA0C8C" w:rsidP="00EA0C8C">
            <w:pPr>
              <w:jc w:val="left"/>
              <w:rPr>
                <w:sz w:val="16"/>
              </w:rPr>
            </w:pPr>
          </w:p>
        </w:tc>
      </w:tr>
      <w:tr w:rsidR="00EA0C8C" w:rsidRPr="00EA0C8C" w14:paraId="1832B7BF" w14:textId="77777777" w:rsidTr="0069092A">
        <w:trPr>
          <w:trHeight w:val="20"/>
        </w:trPr>
        <w:tc>
          <w:tcPr>
            <w:tcW w:w="993" w:type="dxa"/>
          </w:tcPr>
          <w:p w14:paraId="554CD313" w14:textId="77777777" w:rsidR="00EA0C8C" w:rsidRPr="00EA0C8C" w:rsidRDefault="00EA0C8C" w:rsidP="00EA0C8C">
            <w:pPr>
              <w:jc w:val="left"/>
              <w:rPr>
                <w:sz w:val="16"/>
              </w:rPr>
            </w:pPr>
            <w:r w:rsidRPr="00EA0C8C">
              <w:rPr>
                <w:sz w:val="16"/>
              </w:rPr>
              <w:t>12.5. 2</w:t>
            </w:r>
          </w:p>
        </w:tc>
        <w:tc>
          <w:tcPr>
            <w:tcW w:w="1199" w:type="dxa"/>
          </w:tcPr>
          <w:p w14:paraId="7F4A57B7" w14:textId="77777777" w:rsidR="00EA0C8C" w:rsidRPr="00EA0C8C" w:rsidRDefault="00EA0C8C" w:rsidP="00EA0C8C">
            <w:pPr>
              <w:jc w:val="left"/>
              <w:rPr>
                <w:sz w:val="16"/>
              </w:rPr>
            </w:pPr>
            <w:r w:rsidRPr="00EA0C8C">
              <w:rPr>
                <w:sz w:val="16"/>
              </w:rPr>
              <w:t>DE</w:t>
            </w:r>
          </w:p>
        </w:tc>
        <w:tc>
          <w:tcPr>
            <w:tcW w:w="2486" w:type="dxa"/>
          </w:tcPr>
          <w:p w14:paraId="6214032F" w14:textId="77777777" w:rsidR="00EA0C8C" w:rsidRPr="00EA0C8C" w:rsidRDefault="00EA0C8C" w:rsidP="00EA0C8C">
            <w:pPr>
              <w:jc w:val="left"/>
              <w:rPr>
                <w:sz w:val="16"/>
              </w:rPr>
            </w:pPr>
            <w:r w:rsidRPr="00EA0C8C">
              <w:rPr>
                <w:sz w:val="16"/>
              </w:rPr>
              <w:t>Quarterly irregularity reports</w:t>
            </w:r>
          </w:p>
        </w:tc>
        <w:tc>
          <w:tcPr>
            <w:tcW w:w="2694" w:type="dxa"/>
          </w:tcPr>
          <w:p w14:paraId="34CB1E15" w14:textId="77777777" w:rsidR="00EA0C8C" w:rsidRPr="00EA0C8C" w:rsidRDefault="00EA0C8C" w:rsidP="00EA0C8C">
            <w:pPr>
              <w:jc w:val="left"/>
              <w:rPr>
                <w:sz w:val="16"/>
              </w:rPr>
            </w:pPr>
            <w:r w:rsidRPr="00EA0C8C">
              <w:rPr>
                <w:sz w:val="16"/>
              </w:rPr>
              <w:t>Two months after each quarter</w:t>
            </w:r>
          </w:p>
        </w:tc>
        <w:tc>
          <w:tcPr>
            <w:tcW w:w="3260" w:type="dxa"/>
          </w:tcPr>
          <w:p w14:paraId="6F4DD6B4" w14:textId="77777777" w:rsidR="00EA0C8C" w:rsidRPr="00EA0C8C" w:rsidRDefault="00EA0C8C" w:rsidP="00EA0C8C">
            <w:pPr>
              <w:jc w:val="left"/>
              <w:rPr>
                <w:sz w:val="16"/>
              </w:rPr>
            </w:pPr>
          </w:p>
        </w:tc>
      </w:tr>
    </w:tbl>
    <w:p w14:paraId="54632D59" w14:textId="048F4344" w:rsidR="00497B9D" w:rsidRPr="0061777D" w:rsidRDefault="0061777D" w:rsidP="00920571">
      <w:pPr>
        <w:pStyle w:val="Heading2"/>
        <w:numPr>
          <w:ilvl w:val="0"/>
          <w:numId w:val="0"/>
        </w:numPr>
      </w:pPr>
      <w:bookmarkStart w:id="86" w:name="_Toc484174860"/>
      <w:r>
        <w:t xml:space="preserve">5.4 </w:t>
      </w:r>
      <w:r w:rsidR="00497B9D" w:rsidRPr="0061777D">
        <w:t xml:space="preserve">Financial reporting </w:t>
      </w:r>
      <w:r w:rsidR="00CB1FC9" w:rsidRPr="0061777D">
        <w:t>flowchart and</w:t>
      </w:r>
      <w:r w:rsidR="004137F1" w:rsidRPr="0061777D">
        <w:t xml:space="preserve"> </w:t>
      </w:r>
      <w:r w:rsidR="00497B9D" w:rsidRPr="0061777D">
        <w:t>periods</w:t>
      </w:r>
      <w:bookmarkEnd w:id="85"/>
      <w:bookmarkEnd w:id="86"/>
    </w:p>
    <w:p w14:paraId="7BCF87F8" w14:textId="77777777" w:rsidR="00150F7F" w:rsidRDefault="00150F7F">
      <w:pPr>
        <w:spacing w:before="0" w:after="160"/>
        <w:jc w:val="left"/>
      </w:pPr>
      <w:r>
        <w:rPr>
          <w:noProof/>
          <w:lang w:eastAsia="en-GB"/>
        </w:rPr>
        <w:drawing>
          <wp:inline distT="0" distB="0" distL="0" distR="0" wp14:anchorId="142F1A87" wp14:editId="5FB5D0A1">
            <wp:extent cx="5886450" cy="2249556"/>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95749" cy="2253110"/>
                    </a:xfrm>
                    <a:prstGeom prst="rect">
                      <a:avLst/>
                    </a:prstGeom>
                    <a:noFill/>
                  </pic:spPr>
                </pic:pic>
              </a:graphicData>
            </a:graphic>
          </wp:inline>
        </w:drawing>
      </w:r>
    </w:p>
    <w:p w14:paraId="63A030B9" w14:textId="77777777" w:rsidR="0001108D" w:rsidRDefault="0001108D">
      <w:pPr>
        <w:spacing w:before="0" w:after="160"/>
        <w:jc w:val="left"/>
      </w:pPr>
      <w:r>
        <w:br w:type="page"/>
      </w:r>
    </w:p>
    <w:p w14:paraId="137A1E53" w14:textId="4F7845C0" w:rsidR="00F10F45" w:rsidRPr="009B7F14" w:rsidRDefault="00F10F45" w:rsidP="00920571">
      <w:pPr>
        <w:pStyle w:val="Heading2"/>
      </w:pPr>
      <w:bookmarkStart w:id="87" w:name="_Toc484174861"/>
      <w:r w:rsidRPr="009B7F14">
        <w:t>Exchange rate losses</w:t>
      </w:r>
      <w:bookmarkEnd w:id="87"/>
    </w:p>
    <w:p w14:paraId="4EEA05F5" w14:textId="77777777" w:rsidR="00F10F45" w:rsidRPr="009B7F14" w:rsidRDefault="00F10F45" w:rsidP="00376576">
      <w:r w:rsidRPr="009B7F14">
        <w:t xml:space="preserve">Exchange rate losses is mostly relevant for Beneficiary States who </w:t>
      </w:r>
      <w:r w:rsidR="002C7010" w:rsidRPr="009B7F14">
        <w:t>have not adopted euro as their currency</w:t>
      </w:r>
      <w:r w:rsidRPr="009B7F14">
        <w:t xml:space="preserve">. The national set-up within a country will further define who takes on the exchange rate risk, which typically will either be the </w:t>
      </w:r>
      <w:r w:rsidR="003134A1" w:rsidRPr="009B7F14">
        <w:t>PP</w:t>
      </w:r>
      <w:r w:rsidRPr="009B7F14">
        <w:t xml:space="preserve"> or the </w:t>
      </w:r>
      <w:r w:rsidR="003134A1" w:rsidRPr="009B7F14">
        <w:t>PO</w:t>
      </w:r>
      <w:r w:rsidRPr="009B7F14">
        <w:t>.</w:t>
      </w:r>
    </w:p>
    <w:p w14:paraId="02F35D80" w14:textId="2299CCA3" w:rsidR="00F10F45" w:rsidRPr="009B7F14" w:rsidRDefault="00F10F45" w:rsidP="009F01EE">
      <w:pPr>
        <w:pStyle w:val="ListParagraph"/>
        <w:numPr>
          <w:ilvl w:val="0"/>
          <w:numId w:val="8"/>
        </w:numPr>
      </w:pPr>
      <w:r w:rsidRPr="009B7F14">
        <w:t xml:space="preserve">If the PO commits to cover the full project </w:t>
      </w:r>
      <w:r w:rsidR="00550B8E">
        <w:t>cost (</w:t>
      </w:r>
      <w:r w:rsidRPr="009B7F14">
        <w:t>budget</w:t>
      </w:r>
      <w:r w:rsidR="00550B8E">
        <w:t>)</w:t>
      </w:r>
      <w:r w:rsidRPr="009B7F14">
        <w:t xml:space="preserve"> in local currency, the </w:t>
      </w:r>
      <w:r w:rsidR="003134A1" w:rsidRPr="009B7F14">
        <w:t>PP</w:t>
      </w:r>
      <w:r w:rsidRPr="009B7F14">
        <w:t xml:space="preserve"> has no exchange rate risk and this rests with the PO/CA. Any amount beyond the awarded </w:t>
      </w:r>
      <w:r w:rsidR="00EF3B6D">
        <w:t>euro</w:t>
      </w:r>
      <w:r w:rsidRPr="009B7F14">
        <w:t xml:space="preserve"> amount will have to be covered by the </w:t>
      </w:r>
      <w:r w:rsidR="00C27F98">
        <w:t>PO/CA from the PO/CA own budget</w:t>
      </w:r>
    </w:p>
    <w:p w14:paraId="4D56B4A4" w14:textId="67CC20EC" w:rsidR="00F10F45" w:rsidRPr="009B7F14" w:rsidRDefault="00F10F45" w:rsidP="009F01EE">
      <w:pPr>
        <w:pStyle w:val="ListParagraph"/>
        <w:numPr>
          <w:ilvl w:val="0"/>
          <w:numId w:val="8"/>
        </w:numPr>
      </w:pPr>
      <w:r w:rsidRPr="009B7F14">
        <w:t xml:space="preserve">If the PO only commits to pay the </w:t>
      </w:r>
      <w:r w:rsidR="00EF3B6D">
        <w:t>euro</w:t>
      </w:r>
      <w:r w:rsidRPr="009B7F14">
        <w:t xml:space="preserve"> amount the exchange rate rests with the </w:t>
      </w:r>
      <w:r w:rsidR="003134A1" w:rsidRPr="009B7F14">
        <w:t>PP</w:t>
      </w:r>
      <w:r w:rsidRPr="009B7F14">
        <w:t xml:space="preserve"> </w:t>
      </w:r>
    </w:p>
    <w:p w14:paraId="125CD9D1" w14:textId="3BC0A579" w:rsidR="00F10F45" w:rsidRPr="009B7F14" w:rsidRDefault="00F10F45" w:rsidP="00376576">
      <w:r w:rsidRPr="009B7F14">
        <w:t xml:space="preserve">Observed losses due to varying exchange rates within a project is normally acceptable provided this can be covered within the approved </w:t>
      </w:r>
      <w:r w:rsidR="00EF3B6D">
        <w:t xml:space="preserve">euro </w:t>
      </w:r>
      <w:r w:rsidRPr="009B7F14">
        <w:t xml:space="preserve">project grant. Internal changes in this respect to the various budget sections can be treated as a change to the project </w:t>
      </w:r>
      <w:r w:rsidR="00550B8E">
        <w:t>cost (</w:t>
      </w:r>
      <w:r w:rsidRPr="009B7F14">
        <w:t>budget</w:t>
      </w:r>
      <w:r w:rsidR="00550B8E">
        <w:t>).</w:t>
      </w:r>
      <w:r w:rsidRPr="009B7F14">
        <w:t xml:space="preserve"> </w:t>
      </w:r>
    </w:p>
    <w:p w14:paraId="0F1CD011" w14:textId="77777777" w:rsidR="00F10F45" w:rsidRPr="009B7F14" w:rsidRDefault="00F10F45" w:rsidP="00376576">
      <w:r w:rsidRPr="009B7F14">
        <w:t xml:space="preserve">It is important to clarify a few aspects of what is meant by exchange rate losses, as this applies to both programme and project level. </w:t>
      </w:r>
    </w:p>
    <w:p w14:paraId="5F66C4EF" w14:textId="6E47AC25" w:rsidR="00F10F45" w:rsidRPr="0061777D" w:rsidRDefault="00F10F45" w:rsidP="00920571">
      <w:pPr>
        <w:pStyle w:val="Heading3"/>
      </w:pPr>
      <w:r w:rsidRPr="0061777D">
        <w:t>Programme level</w:t>
      </w:r>
    </w:p>
    <w:p w14:paraId="3C1FBBA1" w14:textId="7973B012" w:rsidR="00F10F45" w:rsidRPr="009B7F14" w:rsidRDefault="00F10F45" w:rsidP="00B73261">
      <w:pPr>
        <w:pStyle w:val="ListParagraph"/>
        <w:ind w:left="0"/>
      </w:pPr>
      <w:r w:rsidRPr="009B7F14">
        <w:t>Losses observed due to the usage of monthly exchange rate in IFRs – This loss is not eligible</w:t>
      </w:r>
      <w:r w:rsidR="00B73261" w:rsidRPr="009B7F14">
        <w:rPr>
          <w:noProof/>
          <w:lang w:eastAsia="en-GB"/>
        </w:rPr>
        <w:drawing>
          <wp:inline distT="0" distB="0" distL="0" distR="0" wp14:anchorId="7769349E" wp14:editId="1A148C6F">
            <wp:extent cx="5731510" cy="2529840"/>
            <wp:effectExtent l="0" t="0" r="254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731510" cy="2529840"/>
                    </a:xfrm>
                    <a:prstGeom prst="rect">
                      <a:avLst/>
                    </a:prstGeom>
                  </pic:spPr>
                </pic:pic>
              </a:graphicData>
            </a:graphic>
          </wp:inline>
        </w:drawing>
      </w:r>
    </w:p>
    <w:p w14:paraId="286DF4DE" w14:textId="4B263DC9" w:rsidR="00F10F45" w:rsidRPr="009B7F14" w:rsidRDefault="00F10F45" w:rsidP="00376576">
      <w:r w:rsidRPr="009B7F14">
        <w:t xml:space="preserve">At the programme level for non-euro countries a loss might occur as Donors payments in </w:t>
      </w:r>
      <w:r w:rsidR="00EF3B6D">
        <w:t>euros</w:t>
      </w:r>
      <w:r w:rsidRPr="009B7F14">
        <w:t xml:space="preserve"> are converted to local currency at a specific exchange rate (normally the bank rate on the date of the transfer). When the amounts are reported in the IFR and converted from local currency into euros, the exchange rate is likely to be different as the monthly accounting exchange rates of the European Commission (</w:t>
      </w:r>
      <w:r w:rsidR="002B5B80" w:rsidRPr="009B7F14">
        <w:t xml:space="preserve">Reg. </w:t>
      </w:r>
      <w:r w:rsidRPr="009B7F14">
        <w:t>Art 9.6.2)</w:t>
      </w:r>
      <w:r w:rsidR="00C27F98">
        <w:t xml:space="preserve"> will be used in the IFRs. This</w:t>
      </w:r>
      <w:r w:rsidR="00CA2979">
        <w:t xml:space="preserve"> type of loss is not considered as </w:t>
      </w:r>
      <w:r w:rsidR="00C27F98">
        <w:t xml:space="preserve">an </w:t>
      </w:r>
      <w:r w:rsidR="00CA2979">
        <w:t>eligible cost</w:t>
      </w:r>
      <w:r w:rsidRPr="009B7F14">
        <w:t>.</w:t>
      </w:r>
    </w:p>
    <w:p w14:paraId="1D57B946" w14:textId="0A32872B" w:rsidR="00F10F45" w:rsidRPr="009B7F14" w:rsidRDefault="00F10F45" w:rsidP="00920571">
      <w:pPr>
        <w:pStyle w:val="Heading3"/>
      </w:pPr>
      <w:r w:rsidRPr="009B7F14">
        <w:t>Project Level</w:t>
      </w:r>
    </w:p>
    <w:p w14:paraId="496B76FD" w14:textId="2B59D7FB" w:rsidR="00F10F45" w:rsidRPr="009B7F14" w:rsidRDefault="00F10F45" w:rsidP="00376576">
      <w:r w:rsidRPr="009B7F14">
        <w:t xml:space="preserve">For non-euro countries the PO will have to include the </w:t>
      </w:r>
      <w:r w:rsidR="00EF3B6D">
        <w:t>euro</w:t>
      </w:r>
      <w:r w:rsidRPr="009B7F14">
        <w:t xml:space="preserve"> amount in the project contract, however the project </w:t>
      </w:r>
      <w:r w:rsidR="00550B8E">
        <w:t>cost (</w:t>
      </w:r>
      <w:r w:rsidRPr="009B7F14">
        <w:t>budget</w:t>
      </w:r>
      <w:r w:rsidR="00550B8E">
        <w:t>)</w:t>
      </w:r>
      <w:r w:rsidRPr="009B7F14">
        <w:t xml:space="preserve"> will normally be in local currency. Should the project spend the full </w:t>
      </w:r>
      <w:r w:rsidR="00EF3B6D">
        <w:t>euro</w:t>
      </w:r>
      <w:r w:rsidRPr="009B7F14">
        <w:t xml:space="preserve"> amount but not the whole budget in local currency, the grant paid from the programme will not be liable to support any amount beyond the project grant awarded in </w:t>
      </w:r>
      <w:r w:rsidR="00EF3B6D">
        <w:t>euro</w:t>
      </w:r>
      <w:r w:rsidRPr="009B7F14">
        <w:t xml:space="preserve">. </w:t>
      </w:r>
    </w:p>
    <w:p w14:paraId="3AC0A978" w14:textId="3FF5C5FE" w:rsidR="00F10F45" w:rsidRPr="009B7F14" w:rsidRDefault="00F10F45" w:rsidP="009F01EE">
      <w:pPr>
        <w:pStyle w:val="ListParagraph"/>
        <w:numPr>
          <w:ilvl w:val="0"/>
          <w:numId w:val="4"/>
        </w:numPr>
        <w:ind w:left="720"/>
      </w:pPr>
      <w:r w:rsidRPr="009B7F14">
        <w:t xml:space="preserve">Project spends the awarded </w:t>
      </w:r>
      <w:r w:rsidR="00EF3B6D">
        <w:t>euro</w:t>
      </w:r>
      <w:r w:rsidRPr="009B7F14">
        <w:t xml:space="preserve"> grant but stays within the project </w:t>
      </w:r>
      <w:r w:rsidR="00550B8E">
        <w:t>cost (</w:t>
      </w:r>
      <w:r w:rsidRPr="009B7F14">
        <w:t>budget</w:t>
      </w:r>
      <w:r w:rsidR="00550B8E">
        <w:t>)</w:t>
      </w:r>
      <w:r w:rsidRPr="009B7F14">
        <w:t xml:space="preserve"> in local currency.</w:t>
      </w:r>
    </w:p>
    <w:p w14:paraId="0C32271B" w14:textId="77777777" w:rsidR="00F10F45" w:rsidRPr="009B7F14" w:rsidRDefault="00F10F45" w:rsidP="00376576">
      <w:pPr>
        <w:jc w:val="center"/>
      </w:pPr>
      <w:r w:rsidRPr="009B7F14">
        <w:rPr>
          <w:noProof/>
          <w:lang w:eastAsia="en-GB"/>
        </w:rPr>
        <w:drawing>
          <wp:inline distT="0" distB="0" distL="0" distR="0" wp14:anchorId="5A436184" wp14:editId="6600DC3E">
            <wp:extent cx="3811945" cy="16840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18169" cy="1686770"/>
                    </a:xfrm>
                    <a:prstGeom prst="rect">
                      <a:avLst/>
                    </a:prstGeom>
                  </pic:spPr>
                </pic:pic>
              </a:graphicData>
            </a:graphic>
          </wp:inline>
        </w:drawing>
      </w:r>
    </w:p>
    <w:p w14:paraId="7B12E75C" w14:textId="77777777" w:rsidR="00F10F45" w:rsidRPr="009B7F14" w:rsidRDefault="00F10F45" w:rsidP="00376576">
      <w:r w:rsidRPr="009B7F14">
        <w:t>In this example the PP</w:t>
      </w:r>
      <w:r w:rsidR="00C867DE" w:rsidRPr="009B7F14">
        <w:t xml:space="preserve"> does not get covered 200 </w:t>
      </w:r>
      <w:r w:rsidRPr="009B7F14">
        <w:t>000 PLN due to the strengthening of the PLN. This loss cannot be covered from the programme as it is not possible to increase the project grant to cover this gap. It will be the responsibility of either the PO or the PP themselves to cover this (depending on who has the exchange rate risk).</w:t>
      </w:r>
    </w:p>
    <w:p w14:paraId="1F42A93D" w14:textId="2E5BD7D7" w:rsidR="00F10F45" w:rsidRPr="009B7F14" w:rsidRDefault="00F10F45" w:rsidP="00376576">
      <w:r w:rsidRPr="009B7F14">
        <w:t xml:space="preserve">It is not considered as an exchange rate loss in the event that we have an appreciation of the </w:t>
      </w:r>
      <w:r w:rsidR="00EF3B6D">
        <w:t>euro</w:t>
      </w:r>
      <w:r w:rsidRPr="009B7F14">
        <w:t xml:space="preserve"> amount but the full </w:t>
      </w:r>
      <w:r w:rsidR="00EF3B6D">
        <w:t>euro</w:t>
      </w:r>
      <w:r w:rsidRPr="009B7F14">
        <w:t xml:space="preserve"> amount is not spent. This will happen if there is underspending and an appreciation</w:t>
      </w:r>
      <w:r w:rsidR="00C27F98">
        <w:t xml:space="preserve"> (see below</w:t>
      </w:r>
      <w:r w:rsidRPr="009B7F14">
        <w:t>)</w:t>
      </w:r>
      <w:r w:rsidR="00C27F98">
        <w:t>.</w:t>
      </w:r>
    </w:p>
    <w:p w14:paraId="5B634387" w14:textId="77777777" w:rsidR="00F10F45" w:rsidRPr="009B7F14" w:rsidRDefault="00F10F45" w:rsidP="00376576">
      <w:pPr>
        <w:pStyle w:val="ListParagraph"/>
      </w:pPr>
      <w:r w:rsidRPr="009B7F14">
        <w:rPr>
          <w:noProof/>
          <w:lang w:eastAsia="en-GB"/>
        </w:rPr>
        <w:drawing>
          <wp:inline distT="0" distB="0" distL="0" distR="0" wp14:anchorId="4A0E27D1" wp14:editId="1C1A48FB">
            <wp:extent cx="4381500" cy="1933959"/>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94765" cy="1939814"/>
                    </a:xfrm>
                    <a:prstGeom prst="rect">
                      <a:avLst/>
                    </a:prstGeom>
                  </pic:spPr>
                </pic:pic>
              </a:graphicData>
            </a:graphic>
          </wp:inline>
        </w:drawing>
      </w:r>
    </w:p>
    <w:p w14:paraId="0A227EFE" w14:textId="2990A97C" w:rsidR="00F10F45" w:rsidRPr="009B7F14" w:rsidRDefault="00F10F45" w:rsidP="00376576">
      <w:r w:rsidRPr="009B7F14">
        <w:t xml:space="preserve">Thus in the above example the amount of </w:t>
      </w:r>
      <w:r w:rsidR="00EF3B6D">
        <w:t xml:space="preserve">€ </w:t>
      </w:r>
      <w:r w:rsidRPr="009B7F14">
        <w:t>950</w:t>
      </w:r>
      <w:r w:rsidR="007A1507">
        <w:t xml:space="preserve">,000 </w:t>
      </w:r>
      <w:r w:rsidRPr="009B7F14">
        <w:t xml:space="preserve">should be paid to the </w:t>
      </w:r>
      <w:r w:rsidR="003134A1" w:rsidRPr="009B7F14">
        <w:t>PP</w:t>
      </w:r>
      <w:r w:rsidRPr="009B7F14">
        <w:t>.</w:t>
      </w:r>
    </w:p>
    <w:p w14:paraId="686E8DCB" w14:textId="2921B58A" w:rsidR="00F10F45" w:rsidRPr="009B7F14" w:rsidRDefault="00F10F45" w:rsidP="009F01EE">
      <w:pPr>
        <w:pStyle w:val="ListParagraph"/>
        <w:numPr>
          <w:ilvl w:val="0"/>
          <w:numId w:val="26"/>
        </w:numPr>
      </w:pPr>
      <w:r w:rsidRPr="009B7F14">
        <w:t xml:space="preserve">Increases in prices of items bought in another currency in a project is not to be considered as a loss. This should be treated as a price increase and should be eligible within the project provided the project manages to perform the planned activities within the awarded </w:t>
      </w:r>
      <w:r w:rsidR="00EF3B6D">
        <w:t>euro</w:t>
      </w:r>
      <w:r w:rsidRPr="009B7F14">
        <w:t xml:space="preserve"> amount. The PO can in the project contract put restrictions on transfers between the budget components in the projects, but then it shoul</w:t>
      </w:r>
      <w:r w:rsidR="00EF3B6D">
        <w:t>d be treated as an overspending</w:t>
      </w:r>
    </w:p>
    <w:p w14:paraId="7442956F" w14:textId="5B256BA9" w:rsidR="00F10F45" w:rsidRPr="009B7F14" w:rsidRDefault="00F10F45" w:rsidP="009F01EE">
      <w:pPr>
        <w:pStyle w:val="ListParagraph"/>
        <w:numPr>
          <w:ilvl w:val="0"/>
          <w:numId w:val="26"/>
        </w:numPr>
      </w:pPr>
      <w:r w:rsidRPr="009B7F14">
        <w:t xml:space="preserve">Increases in project </w:t>
      </w:r>
      <w:r w:rsidR="00550B8E">
        <w:t>cost (</w:t>
      </w:r>
      <w:r w:rsidRPr="009B7F14">
        <w:t>budget</w:t>
      </w:r>
      <w:r w:rsidR="00550B8E">
        <w:t>)</w:t>
      </w:r>
      <w:r w:rsidRPr="009B7F14">
        <w:t xml:space="preserve"> in local currency can be done. This could be done in case the currency have weakened against the </w:t>
      </w:r>
      <w:r w:rsidR="00EF3B6D">
        <w:t>euro</w:t>
      </w:r>
      <w:r w:rsidRPr="009B7F14">
        <w:t xml:space="preserve">, which will mean you get more local currency per </w:t>
      </w:r>
      <w:r w:rsidR="00EF3B6D">
        <w:t>euro</w:t>
      </w:r>
    </w:p>
    <w:p w14:paraId="396BCAB8" w14:textId="390F6356" w:rsidR="00F10F45" w:rsidRPr="009B7F14" w:rsidRDefault="00F10F45" w:rsidP="009F01EE">
      <w:pPr>
        <w:pStyle w:val="ListParagraph"/>
        <w:numPr>
          <w:ilvl w:val="0"/>
          <w:numId w:val="26"/>
        </w:numPr>
      </w:pPr>
      <w:r w:rsidRPr="009B7F14">
        <w:t xml:space="preserve">In cases where there is an actual loss in value of funds this is not an eligible cost. Thus if you buy </w:t>
      </w:r>
      <w:r w:rsidR="00231058">
        <w:t>€</w:t>
      </w:r>
      <w:r w:rsidR="00EF3B6D">
        <w:t xml:space="preserve"> </w:t>
      </w:r>
      <w:r w:rsidRPr="009B7F14">
        <w:t xml:space="preserve">100 and then sell </w:t>
      </w:r>
      <w:r w:rsidR="00231058">
        <w:t>€</w:t>
      </w:r>
      <w:r w:rsidR="00EF3B6D">
        <w:t xml:space="preserve"> </w:t>
      </w:r>
      <w:r w:rsidR="007A1507">
        <w:t>100</w:t>
      </w:r>
      <w:r w:rsidRPr="009B7F14">
        <w:t>, resulting in less local currency, this loss should not be an eligible costs. In this case an actual loss has actually occurred.</w:t>
      </w:r>
    </w:p>
    <w:p w14:paraId="774CD75F" w14:textId="77777777" w:rsidR="00F10F45" w:rsidRDefault="00F10F45" w:rsidP="00376576"/>
    <w:p w14:paraId="15369F06" w14:textId="77777777" w:rsidR="00042694" w:rsidRDefault="00042694" w:rsidP="00376576"/>
    <w:p w14:paraId="6B7F6412" w14:textId="77777777" w:rsidR="00042694" w:rsidRDefault="00042694" w:rsidP="00376576"/>
    <w:p w14:paraId="689E705C" w14:textId="66368BA9" w:rsidR="00042694" w:rsidRPr="00042694" w:rsidRDefault="00042694" w:rsidP="00920571">
      <w:pPr>
        <w:pStyle w:val="Heading2"/>
      </w:pPr>
      <w:bookmarkStart w:id="88" w:name="_Toc484174862"/>
      <w:r>
        <w:t>Template for the c</w:t>
      </w:r>
      <w:r w:rsidRPr="00042694">
        <w:t>ertification of costs claimed by donor partner</w:t>
      </w:r>
      <w:bookmarkEnd w:id="88"/>
    </w:p>
    <w:p w14:paraId="18E316C9" w14:textId="77777777" w:rsidR="00042694" w:rsidRPr="00042694" w:rsidRDefault="00042694" w:rsidP="00042694">
      <w:pPr>
        <w:rPr>
          <w:szCs w:val="20"/>
        </w:rPr>
      </w:pPr>
      <w:r w:rsidRPr="00042694">
        <w:rPr>
          <w:szCs w:val="20"/>
        </w:rPr>
        <w:t>This is issued for the certification purposes as required by Article 8.12.4 of the Regulations on the implementation of the Norwegian/European Economic Area Financial Mechanisms 2014-2021 (the Regulations).</w:t>
      </w:r>
    </w:p>
    <w:p w14:paraId="5AEDDA16" w14:textId="77777777" w:rsidR="00042694" w:rsidRPr="00042694" w:rsidRDefault="00042694" w:rsidP="00042694">
      <w:pPr>
        <w:rPr>
          <w:szCs w:val="20"/>
        </w:rPr>
      </w:pPr>
      <w:r w:rsidRPr="00042694">
        <w:rPr>
          <w:szCs w:val="20"/>
        </w:rPr>
        <w:t>We confirm that procedures have been performed in order to provide assurance as to the relevance and conformity with the Regulations, national law and relevant national accounting practices of the costs claimed by the donor project partner.</w:t>
      </w:r>
    </w:p>
    <w:tbl>
      <w:tblPr>
        <w:tblStyle w:val="PlainTable2"/>
        <w:tblW w:w="0" w:type="auto"/>
        <w:tblLook w:val="04A0" w:firstRow="1" w:lastRow="0" w:firstColumn="1" w:lastColumn="0" w:noHBand="0" w:noVBand="1"/>
      </w:tblPr>
      <w:tblGrid>
        <w:gridCol w:w="4111"/>
        <w:gridCol w:w="4905"/>
      </w:tblGrid>
      <w:tr w:rsidR="00042694" w:rsidRPr="00042694" w14:paraId="132D2E90" w14:textId="77777777" w:rsidTr="00E72A42">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7A70F597" w14:textId="77777777" w:rsidR="00042694" w:rsidRPr="00042694" w:rsidRDefault="00042694" w:rsidP="00E72A42">
            <w:pPr>
              <w:rPr>
                <w:sz w:val="16"/>
                <w:szCs w:val="16"/>
              </w:rPr>
            </w:pPr>
            <w:r w:rsidRPr="00042694">
              <w:rPr>
                <w:sz w:val="16"/>
                <w:szCs w:val="16"/>
              </w:rPr>
              <w:t>Project/initiative reference:</w:t>
            </w:r>
          </w:p>
        </w:tc>
        <w:tc>
          <w:tcPr>
            <w:tcW w:w="4905" w:type="dxa"/>
            <w:vAlign w:val="center"/>
          </w:tcPr>
          <w:p w14:paraId="5A8AA01C" w14:textId="77777777" w:rsidR="00042694" w:rsidRPr="00042694" w:rsidRDefault="00042694" w:rsidP="00E72A42">
            <w:pPr>
              <w:cnfStyle w:val="100000000000" w:firstRow="1" w:lastRow="0" w:firstColumn="0" w:lastColumn="0" w:oddVBand="0" w:evenVBand="0" w:oddHBand="0" w:evenHBand="0" w:firstRowFirstColumn="0" w:firstRowLastColumn="0" w:lastRowFirstColumn="0" w:lastRowLastColumn="0"/>
              <w:rPr>
                <w:b w:val="0"/>
                <w:i/>
                <w:sz w:val="16"/>
                <w:szCs w:val="16"/>
              </w:rPr>
            </w:pPr>
            <w:r w:rsidRPr="00042694">
              <w:rPr>
                <w:b w:val="0"/>
                <w:i/>
                <w:sz w:val="16"/>
                <w:szCs w:val="16"/>
              </w:rPr>
              <w:t>Fill in</w:t>
            </w:r>
          </w:p>
        </w:tc>
      </w:tr>
      <w:tr w:rsidR="00042694" w:rsidRPr="00042694" w14:paraId="5B0D168D" w14:textId="77777777" w:rsidTr="00E72A42">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75FFC5D" w14:textId="77777777" w:rsidR="00042694" w:rsidRPr="00042694" w:rsidRDefault="00042694" w:rsidP="00E72A42">
            <w:pPr>
              <w:rPr>
                <w:sz w:val="16"/>
                <w:szCs w:val="16"/>
              </w:rPr>
            </w:pPr>
            <w:r w:rsidRPr="00042694">
              <w:rPr>
                <w:sz w:val="16"/>
                <w:szCs w:val="16"/>
              </w:rPr>
              <w:t>Project/initiative title:</w:t>
            </w:r>
          </w:p>
        </w:tc>
        <w:tc>
          <w:tcPr>
            <w:tcW w:w="4905" w:type="dxa"/>
            <w:vAlign w:val="center"/>
          </w:tcPr>
          <w:p w14:paraId="48616283" w14:textId="77777777" w:rsidR="00042694" w:rsidRPr="00042694" w:rsidRDefault="00042694" w:rsidP="00E72A42">
            <w:pPr>
              <w:cnfStyle w:val="000000100000" w:firstRow="0" w:lastRow="0" w:firstColumn="0" w:lastColumn="0" w:oddVBand="0" w:evenVBand="0" w:oddHBand="1" w:evenHBand="0" w:firstRowFirstColumn="0" w:firstRowLastColumn="0" w:lastRowFirstColumn="0" w:lastRowLastColumn="0"/>
              <w:rPr>
                <w:i/>
                <w:sz w:val="16"/>
                <w:szCs w:val="16"/>
              </w:rPr>
            </w:pPr>
            <w:r w:rsidRPr="00042694">
              <w:rPr>
                <w:i/>
                <w:sz w:val="16"/>
                <w:szCs w:val="16"/>
              </w:rPr>
              <w:t>Fill in</w:t>
            </w:r>
          </w:p>
        </w:tc>
      </w:tr>
      <w:tr w:rsidR="00042694" w:rsidRPr="00042694" w14:paraId="594F49CA" w14:textId="77777777" w:rsidTr="00E72A42">
        <w:trPr>
          <w:trHeight w:hRule="exact" w:val="454"/>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20270CB2" w14:textId="77777777" w:rsidR="00042694" w:rsidRPr="00042694" w:rsidRDefault="00042694" w:rsidP="00E72A42">
            <w:pPr>
              <w:rPr>
                <w:sz w:val="16"/>
                <w:szCs w:val="16"/>
              </w:rPr>
            </w:pPr>
            <w:r w:rsidRPr="00042694">
              <w:rPr>
                <w:sz w:val="16"/>
                <w:szCs w:val="16"/>
              </w:rPr>
              <w:t>Donor project partner:</w:t>
            </w:r>
          </w:p>
        </w:tc>
        <w:tc>
          <w:tcPr>
            <w:tcW w:w="4905" w:type="dxa"/>
            <w:vAlign w:val="center"/>
          </w:tcPr>
          <w:p w14:paraId="151ECA9B" w14:textId="77777777" w:rsidR="00042694" w:rsidRPr="00042694" w:rsidRDefault="00042694" w:rsidP="00E72A42">
            <w:pPr>
              <w:cnfStyle w:val="000000000000" w:firstRow="0" w:lastRow="0" w:firstColumn="0" w:lastColumn="0" w:oddVBand="0" w:evenVBand="0" w:oddHBand="0" w:evenHBand="0" w:firstRowFirstColumn="0" w:firstRowLastColumn="0" w:lastRowFirstColumn="0" w:lastRowLastColumn="0"/>
              <w:rPr>
                <w:i/>
                <w:sz w:val="16"/>
                <w:szCs w:val="16"/>
              </w:rPr>
            </w:pPr>
            <w:r w:rsidRPr="00042694">
              <w:rPr>
                <w:i/>
                <w:sz w:val="16"/>
                <w:szCs w:val="16"/>
              </w:rPr>
              <w:t>Name of project partner</w:t>
            </w:r>
          </w:p>
        </w:tc>
      </w:tr>
      <w:tr w:rsidR="00042694" w:rsidRPr="00042694" w14:paraId="31E0C24E" w14:textId="77777777" w:rsidTr="00E72A42">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51CEAE09" w14:textId="77777777" w:rsidR="00042694" w:rsidRPr="00042694" w:rsidRDefault="00042694" w:rsidP="00E72A42">
            <w:pPr>
              <w:rPr>
                <w:sz w:val="16"/>
                <w:szCs w:val="16"/>
              </w:rPr>
            </w:pPr>
            <w:r w:rsidRPr="00042694">
              <w:rPr>
                <w:sz w:val="16"/>
                <w:szCs w:val="16"/>
              </w:rPr>
              <w:t>Entity responsible for the certification:</w:t>
            </w:r>
          </w:p>
        </w:tc>
        <w:tc>
          <w:tcPr>
            <w:tcW w:w="4905" w:type="dxa"/>
            <w:vAlign w:val="center"/>
          </w:tcPr>
          <w:p w14:paraId="00F77F71" w14:textId="77777777" w:rsidR="00042694" w:rsidRPr="00042694" w:rsidRDefault="00042694" w:rsidP="00E72A42">
            <w:pPr>
              <w:cnfStyle w:val="000000100000" w:firstRow="0" w:lastRow="0" w:firstColumn="0" w:lastColumn="0" w:oddVBand="0" w:evenVBand="0" w:oddHBand="1" w:evenHBand="0" w:firstRowFirstColumn="0" w:firstRowLastColumn="0" w:lastRowFirstColumn="0" w:lastRowLastColumn="0"/>
              <w:rPr>
                <w:i/>
                <w:sz w:val="16"/>
                <w:szCs w:val="16"/>
              </w:rPr>
            </w:pPr>
            <w:r w:rsidRPr="00042694">
              <w:rPr>
                <w:i/>
                <w:sz w:val="16"/>
                <w:szCs w:val="16"/>
              </w:rPr>
              <w:t>Name of entity</w:t>
            </w:r>
          </w:p>
        </w:tc>
      </w:tr>
      <w:tr w:rsidR="00042694" w:rsidRPr="00042694" w14:paraId="000F52AC" w14:textId="77777777" w:rsidTr="00E72A42">
        <w:trPr>
          <w:trHeight w:hRule="exact" w:val="454"/>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168B0348" w14:textId="77777777" w:rsidR="00042694" w:rsidRPr="00042694" w:rsidRDefault="00042694" w:rsidP="00E72A42">
            <w:pPr>
              <w:rPr>
                <w:sz w:val="16"/>
                <w:szCs w:val="16"/>
              </w:rPr>
            </w:pPr>
            <w:r w:rsidRPr="00042694">
              <w:rPr>
                <w:sz w:val="16"/>
                <w:szCs w:val="16"/>
              </w:rPr>
              <w:t>Type of entity:</w:t>
            </w:r>
          </w:p>
        </w:tc>
        <w:tc>
          <w:tcPr>
            <w:tcW w:w="4905" w:type="dxa"/>
            <w:vAlign w:val="center"/>
          </w:tcPr>
          <w:p w14:paraId="6E099112" w14:textId="77777777" w:rsidR="00042694" w:rsidRPr="00042694" w:rsidRDefault="00042694" w:rsidP="00E72A42">
            <w:pPr>
              <w:cnfStyle w:val="000000000000" w:firstRow="0" w:lastRow="0" w:firstColumn="0" w:lastColumn="0" w:oddVBand="0" w:evenVBand="0" w:oddHBand="0" w:evenHBand="0" w:firstRowFirstColumn="0" w:firstRowLastColumn="0" w:lastRowFirstColumn="0" w:lastRowLastColumn="0"/>
              <w:rPr>
                <w:i/>
                <w:sz w:val="16"/>
                <w:szCs w:val="16"/>
              </w:rPr>
            </w:pPr>
            <w:r w:rsidRPr="00042694">
              <w:rPr>
                <w:i/>
                <w:sz w:val="16"/>
                <w:szCs w:val="16"/>
              </w:rPr>
              <w:t>Auditor or Competent Public Officer</w:t>
            </w:r>
          </w:p>
        </w:tc>
      </w:tr>
      <w:tr w:rsidR="00042694" w:rsidRPr="00042694" w14:paraId="50C58B67" w14:textId="77777777" w:rsidTr="00E72A42">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66E3345F" w14:textId="77777777" w:rsidR="00042694" w:rsidRPr="00042694" w:rsidRDefault="00042694" w:rsidP="00E72A42">
            <w:pPr>
              <w:rPr>
                <w:sz w:val="16"/>
                <w:szCs w:val="16"/>
              </w:rPr>
            </w:pPr>
            <w:r w:rsidRPr="00042694">
              <w:rPr>
                <w:sz w:val="16"/>
                <w:szCs w:val="16"/>
              </w:rPr>
              <w:t>Start date of incurred expenditure:</w:t>
            </w:r>
          </w:p>
        </w:tc>
        <w:tc>
          <w:tcPr>
            <w:tcW w:w="4905" w:type="dxa"/>
            <w:vAlign w:val="center"/>
          </w:tcPr>
          <w:p w14:paraId="355D20F1" w14:textId="77777777" w:rsidR="00042694" w:rsidRPr="00042694" w:rsidRDefault="00042694" w:rsidP="00E72A42">
            <w:pPr>
              <w:cnfStyle w:val="000000100000" w:firstRow="0" w:lastRow="0" w:firstColumn="0" w:lastColumn="0" w:oddVBand="0" w:evenVBand="0" w:oddHBand="1" w:evenHBand="0" w:firstRowFirstColumn="0" w:firstRowLastColumn="0" w:lastRowFirstColumn="0" w:lastRowLastColumn="0"/>
              <w:rPr>
                <w:i/>
                <w:sz w:val="16"/>
                <w:szCs w:val="16"/>
              </w:rPr>
            </w:pPr>
            <w:r w:rsidRPr="00042694">
              <w:rPr>
                <w:i/>
                <w:sz w:val="16"/>
                <w:szCs w:val="16"/>
              </w:rPr>
              <w:t>DD.MM.YYYY</w:t>
            </w:r>
          </w:p>
        </w:tc>
      </w:tr>
      <w:tr w:rsidR="00042694" w:rsidRPr="00042694" w14:paraId="3009301D" w14:textId="77777777" w:rsidTr="00E72A42">
        <w:trPr>
          <w:trHeight w:hRule="exact" w:val="454"/>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4581BDB1" w14:textId="77777777" w:rsidR="00042694" w:rsidRPr="00042694" w:rsidRDefault="00042694" w:rsidP="00E72A42">
            <w:pPr>
              <w:rPr>
                <w:sz w:val="16"/>
                <w:szCs w:val="16"/>
              </w:rPr>
            </w:pPr>
            <w:r w:rsidRPr="00042694">
              <w:rPr>
                <w:sz w:val="16"/>
                <w:szCs w:val="16"/>
              </w:rPr>
              <w:t>End date of incurred expenditure:</w:t>
            </w:r>
          </w:p>
        </w:tc>
        <w:tc>
          <w:tcPr>
            <w:tcW w:w="4905" w:type="dxa"/>
            <w:vAlign w:val="center"/>
          </w:tcPr>
          <w:p w14:paraId="1D570FE3" w14:textId="77777777" w:rsidR="00042694" w:rsidRPr="00042694" w:rsidRDefault="00042694" w:rsidP="00E72A42">
            <w:pPr>
              <w:cnfStyle w:val="000000000000" w:firstRow="0" w:lastRow="0" w:firstColumn="0" w:lastColumn="0" w:oddVBand="0" w:evenVBand="0" w:oddHBand="0" w:evenHBand="0" w:firstRowFirstColumn="0" w:firstRowLastColumn="0" w:lastRowFirstColumn="0" w:lastRowLastColumn="0"/>
              <w:rPr>
                <w:i/>
                <w:sz w:val="16"/>
                <w:szCs w:val="16"/>
              </w:rPr>
            </w:pPr>
            <w:r w:rsidRPr="00042694">
              <w:rPr>
                <w:i/>
                <w:sz w:val="16"/>
                <w:szCs w:val="16"/>
              </w:rPr>
              <w:t>DD.MM.YYYY</w:t>
            </w:r>
          </w:p>
        </w:tc>
      </w:tr>
      <w:tr w:rsidR="00042694" w:rsidRPr="00042694" w14:paraId="041BF874" w14:textId="77777777" w:rsidTr="00E72A42">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4111" w:type="dxa"/>
            <w:vAlign w:val="center"/>
          </w:tcPr>
          <w:p w14:paraId="6B87884C" w14:textId="77777777" w:rsidR="00042694" w:rsidRPr="00042694" w:rsidRDefault="00042694" w:rsidP="00E72A42">
            <w:pPr>
              <w:rPr>
                <w:sz w:val="16"/>
                <w:szCs w:val="16"/>
              </w:rPr>
            </w:pPr>
            <w:r w:rsidRPr="00042694">
              <w:rPr>
                <w:sz w:val="16"/>
                <w:szCs w:val="16"/>
              </w:rPr>
              <w:t>Actual expenditure</w:t>
            </w:r>
            <w:r w:rsidRPr="00042694">
              <w:rPr>
                <w:rStyle w:val="FootnoteReference"/>
                <w:sz w:val="16"/>
                <w:szCs w:val="16"/>
              </w:rPr>
              <w:footnoteReference w:id="17"/>
            </w:r>
            <w:r w:rsidRPr="00042694">
              <w:rPr>
                <w:sz w:val="16"/>
                <w:szCs w:val="16"/>
              </w:rPr>
              <w:t xml:space="preserve"> incurred this period:</w:t>
            </w:r>
          </w:p>
        </w:tc>
        <w:tc>
          <w:tcPr>
            <w:tcW w:w="4905" w:type="dxa"/>
            <w:vAlign w:val="center"/>
          </w:tcPr>
          <w:p w14:paraId="4984BB8D" w14:textId="77777777" w:rsidR="00042694" w:rsidRPr="00042694" w:rsidRDefault="00042694" w:rsidP="00E72A42">
            <w:pPr>
              <w:cnfStyle w:val="000000100000" w:firstRow="0" w:lastRow="0" w:firstColumn="0" w:lastColumn="0" w:oddVBand="0" w:evenVBand="0" w:oddHBand="1" w:evenHBand="0" w:firstRowFirstColumn="0" w:firstRowLastColumn="0" w:lastRowFirstColumn="0" w:lastRowLastColumn="0"/>
              <w:rPr>
                <w:i/>
                <w:sz w:val="16"/>
                <w:szCs w:val="16"/>
              </w:rPr>
            </w:pPr>
            <w:r w:rsidRPr="00042694">
              <w:rPr>
                <w:i/>
                <w:sz w:val="16"/>
                <w:szCs w:val="16"/>
              </w:rPr>
              <w:t>Fill in</w:t>
            </w:r>
          </w:p>
        </w:tc>
      </w:tr>
    </w:tbl>
    <w:p w14:paraId="401720A7" w14:textId="77777777" w:rsidR="00042694" w:rsidRPr="00042694" w:rsidRDefault="00042694" w:rsidP="00042694">
      <w:pPr>
        <w:jc w:val="center"/>
        <w:rPr>
          <w:szCs w:val="20"/>
        </w:rPr>
      </w:pPr>
      <w:r w:rsidRPr="00042694">
        <w:rPr>
          <w:szCs w:val="20"/>
        </w:rPr>
        <w:br/>
        <w:t>The [Auditor/Competent Public Officer] hereby certifies that:</w:t>
      </w:r>
    </w:p>
    <w:p w14:paraId="524C8E71" w14:textId="231FC17B" w:rsidR="00042694" w:rsidRPr="00042694" w:rsidRDefault="00042694" w:rsidP="009F01EE">
      <w:pPr>
        <w:pStyle w:val="ListParagraph"/>
        <w:numPr>
          <w:ilvl w:val="0"/>
          <w:numId w:val="38"/>
        </w:numPr>
        <w:spacing w:before="0" w:after="160"/>
        <w:jc w:val="left"/>
        <w:rPr>
          <w:szCs w:val="20"/>
        </w:rPr>
      </w:pPr>
      <w:r w:rsidRPr="00042694">
        <w:rPr>
          <w:szCs w:val="20"/>
        </w:rPr>
        <w:t>The costs claimed by the donor project partner are incurred in accordance with the Regulations on the EEA / Norwegian Financial Mechanisms 2014-2021</w:t>
      </w:r>
      <w:r w:rsidRPr="00042694">
        <w:rPr>
          <w:rStyle w:val="FootnoteReference"/>
          <w:szCs w:val="20"/>
        </w:rPr>
        <w:footnoteReference w:id="18"/>
      </w:r>
      <w:r w:rsidR="00EF3B6D">
        <w:rPr>
          <w:szCs w:val="20"/>
        </w:rPr>
        <w:t>.</w:t>
      </w:r>
    </w:p>
    <w:p w14:paraId="5E0174D8" w14:textId="77777777" w:rsidR="00042694" w:rsidRPr="00042694" w:rsidRDefault="00042694" w:rsidP="009F01EE">
      <w:pPr>
        <w:pStyle w:val="ListParagraph"/>
        <w:numPr>
          <w:ilvl w:val="0"/>
          <w:numId w:val="38"/>
        </w:numPr>
        <w:spacing w:before="0" w:after="160"/>
        <w:jc w:val="left"/>
        <w:rPr>
          <w:szCs w:val="20"/>
        </w:rPr>
      </w:pPr>
      <w:r w:rsidRPr="00042694">
        <w:rPr>
          <w:szCs w:val="20"/>
        </w:rPr>
        <w:t>The cost claimed are incurred in accordance with the relevant law and national accounting practices.</w:t>
      </w:r>
    </w:p>
    <w:p w14:paraId="78EC5C9B" w14:textId="77777777" w:rsidR="00042694" w:rsidRPr="00042694" w:rsidRDefault="00042694" w:rsidP="009F01EE">
      <w:pPr>
        <w:pStyle w:val="ListParagraph"/>
        <w:numPr>
          <w:ilvl w:val="0"/>
          <w:numId w:val="38"/>
        </w:numPr>
        <w:spacing w:before="0" w:after="160"/>
        <w:jc w:val="left"/>
        <w:rPr>
          <w:szCs w:val="20"/>
        </w:rPr>
      </w:pPr>
      <w:r w:rsidRPr="00042694">
        <w:rPr>
          <w:szCs w:val="20"/>
        </w:rPr>
        <w:t>The [Auditor</w:t>
      </w:r>
      <w:r w:rsidRPr="00042694">
        <w:rPr>
          <w:rStyle w:val="FootnoteReference"/>
          <w:szCs w:val="20"/>
        </w:rPr>
        <w:footnoteReference w:id="19"/>
      </w:r>
      <w:r w:rsidRPr="00042694">
        <w:rPr>
          <w:szCs w:val="20"/>
        </w:rPr>
        <w:t>/Competent Public Officer] has not been involved in the preparation of the relevant financial statements, and is independent of the donor project partner.</w:t>
      </w:r>
    </w:p>
    <w:tbl>
      <w:tblPr>
        <w:tblStyle w:val="TableGrid"/>
        <w:tblW w:w="0" w:type="auto"/>
        <w:tblLook w:val="04A0" w:firstRow="1" w:lastRow="0" w:firstColumn="1" w:lastColumn="0" w:noHBand="0" w:noVBand="1"/>
      </w:tblPr>
      <w:tblGrid>
        <w:gridCol w:w="1271"/>
        <w:gridCol w:w="3686"/>
        <w:gridCol w:w="4059"/>
      </w:tblGrid>
      <w:tr w:rsidR="00042694" w:rsidRPr="00042694" w14:paraId="02DFA575" w14:textId="77777777" w:rsidTr="00B73261">
        <w:trPr>
          <w:cnfStyle w:val="100000000000" w:firstRow="1" w:lastRow="0" w:firstColumn="0" w:lastColumn="0" w:oddVBand="0" w:evenVBand="0" w:oddHBand="0" w:evenHBand="0" w:firstRowFirstColumn="0" w:firstRowLastColumn="0" w:lastRowFirstColumn="0" w:lastRowLastColumn="0"/>
          <w:trHeight w:val="495"/>
        </w:trPr>
        <w:tc>
          <w:tcPr>
            <w:tcW w:w="1271" w:type="dxa"/>
            <w:tcBorders>
              <w:top w:val="nil"/>
              <w:left w:val="nil"/>
              <w:bottom w:val="nil"/>
              <w:right w:val="nil"/>
            </w:tcBorders>
          </w:tcPr>
          <w:p w14:paraId="1EA993DB" w14:textId="77777777" w:rsidR="00042694" w:rsidRPr="00042694" w:rsidRDefault="00042694" w:rsidP="00E72A42">
            <w:pPr>
              <w:rPr>
                <w:sz w:val="16"/>
                <w:szCs w:val="16"/>
              </w:rPr>
            </w:pPr>
          </w:p>
        </w:tc>
        <w:tc>
          <w:tcPr>
            <w:tcW w:w="3686" w:type="dxa"/>
            <w:tcBorders>
              <w:top w:val="nil"/>
              <w:left w:val="nil"/>
              <w:bottom w:val="single" w:sz="4" w:space="0" w:color="auto"/>
              <w:right w:val="nil"/>
            </w:tcBorders>
          </w:tcPr>
          <w:p w14:paraId="6A9A019D" w14:textId="77777777" w:rsidR="00042694" w:rsidRPr="00042694" w:rsidRDefault="00042694" w:rsidP="00E72A42">
            <w:pPr>
              <w:jc w:val="center"/>
              <w:rPr>
                <w:b w:val="0"/>
                <w:sz w:val="16"/>
                <w:szCs w:val="16"/>
              </w:rPr>
            </w:pPr>
            <w:r w:rsidRPr="00042694">
              <w:rPr>
                <w:sz w:val="16"/>
                <w:szCs w:val="16"/>
              </w:rPr>
              <w:t>For the Auditor/Competent Public Officer</w:t>
            </w:r>
          </w:p>
        </w:tc>
        <w:tc>
          <w:tcPr>
            <w:tcW w:w="4059" w:type="dxa"/>
            <w:tcBorders>
              <w:top w:val="nil"/>
              <w:left w:val="nil"/>
              <w:bottom w:val="single" w:sz="4" w:space="0" w:color="auto"/>
              <w:right w:val="nil"/>
            </w:tcBorders>
          </w:tcPr>
          <w:p w14:paraId="313CC1B2" w14:textId="77777777" w:rsidR="00042694" w:rsidRPr="00042694" w:rsidRDefault="00042694" w:rsidP="00E72A42">
            <w:pPr>
              <w:jc w:val="center"/>
              <w:rPr>
                <w:b w:val="0"/>
                <w:sz w:val="16"/>
                <w:szCs w:val="16"/>
              </w:rPr>
            </w:pPr>
            <w:r w:rsidRPr="00042694">
              <w:rPr>
                <w:sz w:val="16"/>
                <w:szCs w:val="16"/>
              </w:rPr>
              <w:t>Optional second signature</w:t>
            </w:r>
          </w:p>
        </w:tc>
      </w:tr>
      <w:tr w:rsidR="00042694" w:rsidRPr="00042694" w14:paraId="6C1A09E7" w14:textId="77777777" w:rsidTr="00B73261">
        <w:trPr>
          <w:trHeight w:val="20"/>
        </w:trPr>
        <w:tc>
          <w:tcPr>
            <w:tcW w:w="1271" w:type="dxa"/>
            <w:tcBorders>
              <w:top w:val="nil"/>
              <w:left w:val="nil"/>
              <w:bottom w:val="nil"/>
              <w:right w:val="single" w:sz="4" w:space="0" w:color="auto"/>
            </w:tcBorders>
            <w:vAlign w:val="center"/>
          </w:tcPr>
          <w:p w14:paraId="58DB1A2C" w14:textId="77777777" w:rsidR="00042694" w:rsidRPr="00042694" w:rsidRDefault="00042694" w:rsidP="00E72A42">
            <w:pPr>
              <w:jc w:val="right"/>
              <w:rPr>
                <w:b/>
                <w:sz w:val="16"/>
                <w:szCs w:val="16"/>
              </w:rPr>
            </w:pPr>
            <w:r w:rsidRPr="00042694">
              <w:rPr>
                <w:b/>
                <w:sz w:val="16"/>
                <w:szCs w:val="16"/>
              </w:rPr>
              <w:t>Name</w:t>
            </w:r>
          </w:p>
        </w:tc>
        <w:tc>
          <w:tcPr>
            <w:tcW w:w="3686" w:type="dxa"/>
            <w:tcBorders>
              <w:top w:val="single" w:sz="4" w:space="0" w:color="auto"/>
              <w:left w:val="single" w:sz="4" w:space="0" w:color="auto"/>
            </w:tcBorders>
            <w:shd w:val="clear" w:color="auto" w:fill="DEEAF6" w:themeFill="accent1" w:themeFillTint="33"/>
          </w:tcPr>
          <w:p w14:paraId="6887EB51" w14:textId="77777777" w:rsidR="00042694" w:rsidRPr="00042694" w:rsidRDefault="00042694" w:rsidP="00E72A42">
            <w:pPr>
              <w:rPr>
                <w:sz w:val="16"/>
                <w:szCs w:val="16"/>
              </w:rPr>
            </w:pPr>
          </w:p>
        </w:tc>
        <w:tc>
          <w:tcPr>
            <w:tcW w:w="4059" w:type="dxa"/>
            <w:tcBorders>
              <w:top w:val="single" w:sz="4" w:space="0" w:color="auto"/>
            </w:tcBorders>
            <w:shd w:val="clear" w:color="auto" w:fill="DEEAF6" w:themeFill="accent1" w:themeFillTint="33"/>
          </w:tcPr>
          <w:p w14:paraId="415B7165" w14:textId="77777777" w:rsidR="00042694" w:rsidRPr="00042694" w:rsidRDefault="00042694" w:rsidP="00E72A42">
            <w:pPr>
              <w:rPr>
                <w:sz w:val="16"/>
                <w:szCs w:val="16"/>
              </w:rPr>
            </w:pPr>
          </w:p>
        </w:tc>
      </w:tr>
      <w:tr w:rsidR="00042694" w:rsidRPr="00042694" w14:paraId="1FD66D78" w14:textId="77777777" w:rsidTr="00B73261">
        <w:trPr>
          <w:trHeight w:val="20"/>
        </w:trPr>
        <w:tc>
          <w:tcPr>
            <w:tcW w:w="1271" w:type="dxa"/>
            <w:tcBorders>
              <w:top w:val="nil"/>
              <w:left w:val="nil"/>
              <w:bottom w:val="nil"/>
              <w:right w:val="single" w:sz="4" w:space="0" w:color="auto"/>
            </w:tcBorders>
            <w:vAlign w:val="center"/>
          </w:tcPr>
          <w:p w14:paraId="3DFAD76F" w14:textId="77777777" w:rsidR="00042694" w:rsidRPr="00042694" w:rsidRDefault="00042694" w:rsidP="00E72A42">
            <w:pPr>
              <w:jc w:val="right"/>
              <w:rPr>
                <w:b/>
                <w:sz w:val="16"/>
                <w:szCs w:val="16"/>
              </w:rPr>
            </w:pPr>
            <w:r w:rsidRPr="00042694">
              <w:rPr>
                <w:b/>
                <w:sz w:val="16"/>
                <w:szCs w:val="16"/>
              </w:rPr>
              <w:t>Signature</w:t>
            </w:r>
          </w:p>
        </w:tc>
        <w:tc>
          <w:tcPr>
            <w:tcW w:w="3686" w:type="dxa"/>
            <w:tcBorders>
              <w:left w:val="single" w:sz="4" w:space="0" w:color="auto"/>
            </w:tcBorders>
          </w:tcPr>
          <w:p w14:paraId="5B27822F" w14:textId="77777777" w:rsidR="00042694" w:rsidRPr="00042694" w:rsidRDefault="00042694" w:rsidP="00E72A42">
            <w:pPr>
              <w:rPr>
                <w:sz w:val="16"/>
                <w:szCs w:val="16"/>
              </w:rPr>
            </w:pPr>
          </w:p>
        </w:tc>
        <w:tc>
          <w:tcPr>
            <w:tcW w:w="4059" w:type="dxa"/>
          </w:tcPr>
          <w:p w14:paraId="15BA1C25" w14:textId="77777777" w:rsidR="00042694" w:rsidRPr="00042694" w:rsidRDefault="00042694" w:rsidP="00E72A42">
            <w:pPr>
              <w:rPr>
                <w:sz w:val="16"/>
                <w:szCs w:val="16"/>
              </w:rPr>
            </w:pPr>
          </w:p>
        </w:tc>
      </w:tr>
      <w:tr w:rsidR="00042694" w:rsidRPr="00042694" w14:paraId="1FA2CE7D" w14:textId="77777777" w:rsidTr="00B73261">
        <w:trPr>
          <w:trHeight w:val="20"/>
        </w:trPr>
        <w:tc>
          <w:tcPr>
            <w:tcW w:w="1271" w:type="dxa"/>
            <w:tcBorders>
              <w:top w:val="nil"/>
              <w:left w:val="nil"/>
              <w:bottom w:val="nil"/>
              <w:right w:val="single" w:sz="4" w:space="0" w:color="auto"/>
            </w:tcBorders>
            <w:vAlign w:val="center"/>
          </w:tcPr>
          <w:p w14:paraId="003246A6" w14:textId="77777777" w:rsidR="00042694" w:rsidRPr="00042694" w:rsidRDefault="00042694" w:rsidP="00E72A42">
            <w:pPr>
              <w:jc w:val="right"/>
              <w:rPr>
                <w:b/>
                <w:sz w:val="16"/>
                <w:szCs w:val="16"/>
              </w:rPr>
            </w:pPr>
            <w:r w:rsidRPr="00042694">
              <w:rPr>
                <w:b/>
                <w:sz w:val="16"/>
                <w:szCs w:val="16"/>
              </w:rPr>
              <w:t>Position</w:t>
            </w:r>
          </w:p>
        </w:tc>
        <w:tc>
          <w:tcPr>
            <w:tcW w:w="3686" w:type="dxa"/>
            <w:tcBorders>
              <w:left w:val="single" w:sz="4" w:space="0" w:color="auto"/>
            </w:tcBorders>
            <w:shd w:val="clear" w:color="auto" w:fill="DEEAF6" w:themeFill="accent1" w:themeFillTint="33"/>
          </w:tcPr>
          <w:p w14:paraId="23CD0EAC" w14:textId="77777777" w:rsidR="00042694" w:rsidRPr="00042694" w:rsidRDefault="00042694" w:rsidP="00E72A42">
            <w:pPr>
              <w:rPr>
                <w:sz w:val="16"/>
                <w:szCs w:val="16"/>
              </w:rPr>
            </w:pPr>
          </w:p>
        </w:tc>
        <w:tc>
          <w:tcPr>
            <w:tcW w:w="4059" w:type="dxa"/>
            <w:shd w:val="clear" w:color="auto" w:fill="DEEAF6" w:themeFill="accent1" w:themeFillTint="33"/>
          </w:tcPr>
          <w:p w14:paraId="0CB89117" w14:textId="77777777" w:rsidR="00042694" w:rsidRPr="00042694" w:rsidRDefault="00042694" w:rsidP="00E72A42">
            <w:pPr>
              <w:rPr>
                <w:sz w:val="16"/>
                <w:szCs w:val="16"/>
              </w:rPr>
            </w:pPr>
          </w:p>
        </w:tc>
      </w:tr>
      <w:tr w:rsidR="00042694" w:rsidRPr="00042694" w14:paraId="33C55631" w14:textId="77777777" w:rsidTr="00B73261">
        <w:trPr>
          <w:trHeight w:val="20"/>
        </w:trPr>
        <w:tc>
          <w:tcPr>
            <w:tcW w:w="1271" w:type="dxa"/>
            <w:tcBorders>
              <w:top w:val="nil"/>
              <w:left w:val="nil"/>
              <w:bottom w:val="nil"/>
              <w:right w:val="single" w:sz="4" w:space="0" w:color="auto"/>
            </w:tcBorders>
            <w:vAlign w:val="center"/>
          </w:tcPr>
          <w:p w14:paraId="43D84E8D" w14:textId="77777777" w:rsidR="00042694" w:rsidRPr="00042694" w:rsidRDefault="00042694" w:rsidP="00E72A42">
            <w:pPr>
              <w:jc w:val="right"/>
              <w:rPr>
                <w:b/>
                <w:sz w:val="16"/>
                <w:szCs w:val="16"/>
              </w:rPr>
            </w:pPr>
            <w:r w:rsidRPr="00042694">
              <w:rPr>
                <w:b/>
                <w:sz w:val="16"/>
                <w:szCs w:val="16"/>
              </w:rPr>
              <w:t>Date</w:t>
            </w:r>
          </w:p>
        </w:tc>
        <w:tc>
          <w:tcPr>
            <w:tcW w:w="3686" w:type="dxa"/>
            <w:tcBorders>
              <w:left w:val="single" w:sz="4" w:space="0" w:color="auto"/>
            </w:tcBorders>
            <w:shd w:val="clear" w:color="auto" w:fill="DEEAF6" w:themeFill="accent1" w:themeFillTint="33"/>
          </w:tcPr>
          <w:p w14:paraId="5C4A5974" w14:textId="77777777" w:rsidR="00042694" w:rsidRPr="00042694" w:rsidRDefault="00042694" w:rsidP="00E72A42">
            <w:pPr>
              <w:rPr>
                <w:sz w:val="16"/>
                <w:szCs w:val="16"/>
              </w:rPr>
            </w:pPr>
          </w:p>
        </w:tc>
        <w:tc>
          <w:tcPr>
            <w:tcW w:w="4059" w:type="dxa"/>
            <w:shd w:val="clear" w:color="auto" w:fill="DEEAF6" w:themeFill="accent1" w:themeFillTint="33"/>
          </w:tcPr>
          <w:p w14:paraId="2B569600" w14:textId="77777777" w:rsidR="00042694" w:rsidRPr="00042694" w:rsidRDefault="00042694" w:rsidP="00E72A42">
            <w:pPr>
              <w:rPr>
                <w:sz w:val="16"/>
                <w:szCs w:val="16"/>
              </w:rPr>
            </w:pPr>
          </w:p>
        </w:tc>
      </w:tr>
    </w:tbl>
    <w:p w14:paraId="52CF4808" w14:textId="77777777" w:rsidR="00042694" w:rsidRPr="00042694" w:rsidRDefault="00042694" w:rsidP="00B73261">
      <w:pPr>
        <w:rPr>
          <w:szCs w:val="20"/>
        </w:rPr>
      </w:pPr>
    </w:p>
    <w:sectPr w:rsidR="00042694" w:rsidRPr="00042694" w:rsidSect="00DE4338">
      <w:footerReference w:type="default" r:id="rId19"/>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BA0C0" w14:textId="77777777" w:rsidR="00A87AB3" w:rsidRDefault="00A87AB3" w:rsidP="009229B6">
      <w:pPr>
        <w:spacing w:after="0" w:line="240" w:lineRule="auto"/>
      </w:pPr>
      <w:r>
        <w:separator/>
      </w:r>
    </w:p>
    <w:p w14:paraId="6042E042" w14:textId="77777777" w:rsidR="00A87AB3" w:rsidRDefault="00A87AB3"/>
  </w:endnote>
  <w:endnote w:type="continuationSeparator" w:id="0">
    <w:p w14:paraId="6647ADA1" w14:textId="77777777" w:rsidR="00A87AB3" w:rsidRDefault="00A87AB3" w:rsidP="009229B6">
      <w:pPr>
        <w:spacing w:after="0" w:line="240" w:lineRule="auto"/>
      </w:pPr>
      <w:r>
        <w:continuationSeparator/>
      </w:r>
    </w:p>
    <w:p w14:paraId="66DCF3D8" w14:textId="77777777" w:rsidR="00A87AB3" w:rsidRDefault="00A87AB3"/>
  </w:endnote>
  <w:endnote w:type="continuationNotice" w:id="1">
    <w:p w14:paraId="65FECE96" w14:textId="77777777" w:rsidR="00A87AB3" w:rsidRDefault="00A87AB3">
      <w:pPr>
        <w:spacing w:after="0" w:line="240" w:lineRule="auto"/>
      </w:pPr>
    </w:p>
    <w:p w14:paraId="7B483D82" w14:textId="77777777" w:rsidR="00A87AB3" w:rsidRDefault="00A87A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Caslon-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63236"/>
      <w:docPartObj>
        <w:docPartGallery w:val="Page Numbers (Bottom of Page)"/>
        <w:docPartUnique/>
      </w:docPartObj>
    </w:sdtPr>
    <w:sdtEndPr>
      <w:rPr>
        <w:noProof/>
      </w:rPr>
    </w:sdtEndPr>
    <w:sdtContent>
      <w:p w14:paraId="405CAC22" w14:textId="77777777" w:rsidR="00A87AB3" w:rsidRDefault="00A87AB3">
        <w:pPr>
          <w:pStyle w:val="Footer"/>
          <w:jc w:val="right"/>
        </w:pPr>
        <w:r>
          <w:fldChar w:fldCharType="begin"/>
        </w:r>
        <w:r>
          <w:instrText xml:space="preserve"> PAGE   \* MERGEFORMAT </w:instrText>
        </w:r>
        <w:r>
          <w:fldChar w:fldCharType="separate"/>
        </w:r>
        <w:r w:rsidR="00DE4338">
          <w:rPr>
            <w:noProof/>
          </w:rPr>
          <w:t>21</w:t>
        </w:r>
        <w:r>
          <w:rPr>
            <w:noProof/>
          </w:rPr>
          <w:fldChar w:fldCharType="end"/>
        </w:r>
      </w:p>
    </w:sdtContent>
  </w:sdt>
  <w:p w14:paraId="62DC789E" w14:textId="77777777" w:rsidR="00A87AB3" w:rsidRDefault="00A87A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2EEDF" w14:textId="77777777" w:rsidR="00A87AB3" w:rsidRDefault="00A87AB3" w:rsidP="009229B6">
      <w:pPr>
        <w:spacing w:after="0" w:line="240" w:lineRule="auto"/>
      </w:pPr>
      <w:r>
        <w:separator/>
      </w:r>
    </w:p>
    <w:p w14:paraId="0DD2C33F" w14:textId="77777777" w:rsidR="00A87AB3" w:rsidRDefault="00A87AB3"/>
  </w:footnote>
  <w:footnote w:type="continuationSeparator" w:id="0">
    <w:p w14:paraId="2DB087CB" w14:textId="77777777" w:rsidR="00A87AB3" w:rsidRDefault="00A87AB3" w:rsidP="009229B6">
      <w:pPr>
        <w:spacing w:after="0" w:line="240" w:lineRule="auto"/>
      </w:pPr>
      <w:r>
        <w:continuationSeparator/>
      </w:r>
    </w:p>
    <w:p w14:paraId="68564891" w14:textId="77777777" w:rsidR="00A87AB3" w:rsidRDefault="00A87AB3"/>
  </w:footnote>
  <w:footnote w:type="continuationNotice" w:id="1">
    <w:p w14:paraId="71944E58" w14:textId="77777777" w:rsidR="00A87AB3" w:rsidRDefault="00A87AB3">
      <w:pPr>
        <w:spacing w:after="0" w:line="240" w:lineRule="auto"/>
      </w:pPr>
    </w:p>
    <w:p w14:paraId="618E78D5" w14:textId="77777777" w:rsidR="00A87AB3" w:rsidRDefault="00A87AB3"/>
  </w:footnote>
  <w:footnote w:id="2">
    <w:p w14:paraId="54749242" w14:textId="77777777" w:rsidR="00A87AB3" w:rsidRPr="0083438A" w:rsidRDefault="00A87AB3" w:rsidP="00E264C0">
      <w:pPr>
        <w:pStyle w:val="FootnoteText"/>
        <w:rPr>
          <w:sz w:val="18"/>
          <w:szCs w:val="18"/>
        </w:rPr>
      </w:pPr>
      <w:r w:rsidRPr="0083438A">
        <w:rPr>
          <w:rStyle w:val="FootnoteReference"/>
          <w:sz w:val="18"/>
          <w:szCs w:val="18"/>
        </w:rPr>
        <w:footnoteRef/>
      </w:r>
      <w:r w:rsidRPr="0083438A">
        <w:rPr>
          <w:sz w:val="18"/>
          <w:szCs w:val="18"/>
        </w:rPr>
        <w:t xml:space="preserve"> Programmes under the programme area </w:t>
      </w:r>
      <w:r>
        <w:rPr>
          <w:sz w:val="18"/>
          <w:szCs w:val="18"/>
        </w:rPr>
        <w:t>“</w:t>
      </w:r>
      <w:r w:rsidRPr="0083438A">
        <w:rPr>
          <w:sz w:val="18"/>
          <w:szCs w:val="18"/>
        </w:rPr>
        <w:t>Civil Society</w:t>
      </w:r>
      <w:r>
        <w:rPr>
          <w:sz w:val="18"/>
          <w:szCs w:val="18"/>
        </w:rPr>
        <w:t>”</w:t>
      </w:r>
      <w:r w:rsidRPr="0083438A">
        <w:rPr>
          <w:sz w:val="18"/>
          <w:szCs w:val="18"/>
        </w:rPr>
        <w:t>; programmes operated by the FMO</w:t>
      </w:r>
      <w:r>
        <w:rPr>
          <w:sz w:val="18"/>
          <w:szCs w:val="18"/>
        </w:rPr>
        <w:t>,</w:t>
      </w:r>
      <w:r w:rsidRPr="0083438A">
        <w:rPr>
          <w:sz w:val="18"/>
          <w:szCs w:val="18"/>
        </w:rPr>
        <w:t xml:space="preserve"> inter-governmental organisations or Donor State entities</w:t>
      </w:r>
      <w:r>
        <w:rPr>
          <w:sz w:val="18"/>
          <w:szCs w:val="18"/>
        </w:rPr>
        <w:t xml:space="preserve"> in accordance with Article 6.13 of the Regulations</w:t>
      </w:r>
      <w:r w:rsidRPr="0083438A">
        <w:rPr>
          <w:sz w:val="18"/>
          <w:szCs w:val="18"/>
        </w:rPr>
        <w:t>; and other programmes of special interest</w:t>
      </w:r>
      <w:r>
        <w:rPr>
          <w:sz w:val="18"/>
          <w:szCs w:val="18"/>
        </w:rPr>
        <w:t>.</w:t>
      </w:r>
    </w:p>
  </w:footnote>
  <w:footnote w:id="3">
    <w:p w14:paraId="171BCE69" w14:textId="77777777" w:rsidR="00A87AB3" w:rsidRDefault="00A87AB3" w:rsidP="00E264C0">
      <w:pPr>
        <w:pStyle w:val="FootnoteText"/>
      </w:pPr>
      <w:r w:rsidRPr="0083438A">
        <w:rPr>
          <w:rStyle w:val="FootnoteReference"/>
          <w:sz w:val="18"/>
          <w:szCs w:val="18"/>
        </w:rPr>
        <w:footnoteRef/>
      </w:r>
      <w:r w:rsidRPr="0083438A">
        <w:rPr>
          <w:sz w:val="18"/>
          <w:szCs w:val="18"/>
        </w:rPr>
        <w:t xml:space="preserve"> For more information on financial payments see Chapter 2.1. </w:t>
      </w:r>
    </w:p>
  </w:footnote>
  <w:footnote w:id="4">
    <w:p w14:paraId="345D3E7B" w14:textId="77777777" w:rsidR="00A87AB3" w:rsidRPr="00E14D05" w:rsidRDefault="00A87AB3" w:rsidP="00CA1389">
      <w:pPr>
        <w:pStyle w:val="FootnoteText"/>
        <w:rPr>
          <w:sz w:val="18"/>
          <w:szCs w:val="18"/>
        </w:rPr>
      </w:pPr>
      <w:r w:rsidRPr="00E14D05">
        <w:rPr>
          <w:rStyle w:val="FootnoteReference"/>
          <w:sz w:val="18"/>
          <w:szCs w:val="18"/>
        </w:rPr>
        <w:footnoteRef/>
      </w:r>
      <w:r w:rsidRPr="00E14D05">
        <w:rPr>
          <w:sz w:val="18"/>
          <w:szCs w:val="18"/>
        </w:rPr>
        <w:t xml:space="preserve"> Original documents, especially accounting and tax records, or, in exceptional and duly justified cases, certified copies of original documents</w:t>
      </w:r>
    </w:p>
  </w:footnote>
  <w:footnote w:id="5">
    <w:p w14:paraId="7832CE98" w14:textId="59DA0ADC" w:rsidR="00A87AB3" w:rsidRDefault="00A87AB3" w:rsidP="00CA1389">
      <w:pPr>
        <w:pStyle w:val="FootnoteText"/>
      </w:pPr>
      <w:r w:rsidRPr="00E14D05">
        <w:rPr>
          <w:rStyle w:val="FootnoteReference"/>
          <w:sz w:val="18"/>
          <w:szCs w:val="18"/>
        </w:rPr>
        <w:footnoteRef/>
      </w:r>
      <w:r w:rsidRPr="00E14D05">
        <w:rPr>
          <w:sz w:val="18"/>
          <w:szCs w:val="18"/>
        </w:rPr>
        <w:t xml:space="preserve"> The decision to award the project grant is normally made before signature of the project contract, and should be documented (by correspondence to </w:t>
      </w:r>
      <w:r>
        <w:rPr>
          <w:sz w:val="18"/>
          <w:szCs w:val="18"/>
        </w:rPr>
        <w:t>PP</w:t>
      </w:r>
      <w:r w:rsidRPr="00E14D05">
        <w:rPr>
          <w:sz w:val="18"/>
          <w:szCs w:val="18"/>
        </w:rPr>
        <w:t>, formal letter etc.).</w:t>
      </w:r>
    </w:p>
  </w:footnote>
  <w:footnote w:id="6">
    <w:p w14:paraId="0F4D235A" w14:textId="77777777" w:rsidR="00A87AB3" w:rsidRDefault="00A87AB3" w:rsidP="000C58A8">
      <w:pPr>
        <w:pStyle w:val="FootnoteText"/>
      </w:pPr>
      <w:r w:rsidRPr="0083438A">
        <w:rPr>
          <w:rStyle w:val="FootnoteReference"/>
          <w:sz w:val="18"/>
          <w:szCs w:val="18"/>
        </w:rPr>
        <w:footnoteRef/>
      </w:r>
      <w:r w:rsidRPr="0083438A">
        <w:rPr>
          <w:sz w:val="18"/>
          <w:szCs w:val="18"/>
        </w:rPr>
        <w:t xml:space="preserve"> Please refer to the ‘</w:t>
      </w:r>
      <w:r>
        <w:rPr>
          <w:sz w:val="18"/>
          <w:szCs w:val="18"/>
        </w:rPr>
        <w:t>Bilateral Guideline’</w:t>
      </w:r>
      <w:r w:rsidRPr="0083438A">
        <w:rPr>
          <w:sz w:val="18"/>
          <w:szCs w:val="18"/>
        </w:rPr>
        <w:t xml:space="preserve"> for further details on eligible activities within the early phase of the programmes preparation</w:t>
      </w:r>
      <w:r>
        <w:rPr>
          <w:sz w:val="18"/>
          <w:szCs w:val="18"/>
        </w:rPr>
        <w:t xml:space="preserve"> and procedure for requesting direct advance payments</w:t>
      </w:r>
      <w:r w:rsidRPr="0083438A">
        <w:rPr>
          <w:sz w:val="18"/>
          <w:szCs w:val="18"/>
        </w:rPr>
        <w:t>.</w:t>
      </w:r>
    </w:p>
  </w:footnote>
  <w:footnote w:id="7">
    <w:p w14:paraId="6D066D42" w14:textId="5AA49072" w:rsidR="00A87AB3" w:rsidRPr="00F568B5" w:rsidRDefault="00A87AB3" w:rsidP="00715978">
      <w:pPr>
        <w:pStyle w:val="FootnoteText"/>
        <w:rPr>
          <w:sz w:val="18"/>
          <w:szCs w:val="18"/>
        </w:rPr>
      </w:pPr>
      <w:r w:rsidRPr="00F568B5">
        <w:rPr>
          <w:rStyle w:val="FootnoteReference"/>
          <w:sz w:val="18"/>
          <w:szCs w:val="18"/>
        </w:rPr>
        <w:footnoteRef/>
      </w:r>
      <w:r w:rsidRPr="00F568B5">
        <w:rPr>
          <w:sz w:val="18"/>
          <w:szCs w:val="18"/>
        </w:rPr>
        <w:t xml:space="preserve"> In exceptional and duly justified cases, the PO may suggest additional expenditures to be eligible or exclude some. Any deviation, if approved by the FMO, shall be explicitly stipulated in the </w:t>
      </w:r>
      <w:r>
        <w:rPr>
          <w:sz w:val="18"/>
          <w:szCs w:val="18"/>
        </w:rPr>
        <w:t>PA</w:t>
      </w:r>
      <w:r w:rsidRPr="00F568B5">
        <w:rPr>
          <w:sz w:val="18"/>
          <w:szCs w:val="18"/>
        </w:rPr>
        <w:t>.</w:t>
      </w:r>
    </w:p>
  </w:footnote>
  <w:footnote w:id="8">
    <w:p w14:paraId="2A9A6966" w14:textId="77777777" w:rsidR="00A87AB3" w:rsidRPr="0083438A" w:rsidRDefault="00A87AB3" w:rsidP="005F2482">
      <w:pPr>
        <w:pStyle w:val="FootnoteText"/>
        <w:rPr>
          <w:sz w:val="18"/>
          <w:szCs w:val="18"/>
        </w:rPr>
      </w:pPr>
      <w:r w:rsidRPr="0083438A">
        <w:rPr>
          <w:rStyle w:val="FootnoteReference"/>
          <w:sz w:val="18"/>
          <w:szCs w:val="18"/>
        </w:rPr>
        <w:footnoteRef/>
      </w:r>
      <w:r w:rsidRPr="0083438A">
        <w:rPr>
          <w:sz w:val="18"/>
          <w:szCs w:val="18"/>
        </w:rPr>
        <w:t xml:space="preserve"> E.g. costs connected with infrastructures and the general operation of the organisations such as water/gas/electricity, maintenance, insurance, supplies and petty office equipment, communication and connection costs, postage, etc. and costs connected with horizontal services such as administrative and financial management, human resources, training, legal advice, etc.</w:t>
      </w:r>
    </w:p>
  </w:footnote>
  <w:footnote w:id="9">
    <w:p w14:paraId="00CA419B" w14:textId="77777777" w:rsidR="00A87AB3" w:rsidRPr="00A53ADA" w:rsidRDefault="00A87AB3" w:rsidP="005D0B75">
      <w:pPr>
        <w:pStyle w:val="FootnoteText"/>
        <w:rPr>
          <w:sz w:val="18"/>
          <w:szCs w:val="18"/>
        </w:rPr>
      </w:pPr>
      <w:r w:rsidRPr="00A53ADA">
        <w:rPr>
          <w:rStyle w:val="FootnoteReference"/>
          <w:sz w:val="18"/>
          <w:szCs w:val="18"/>
        </w:rPr>
        <w:footnoteRef/>
      </w:r>
      <w:r w:rsidRPr="00A53ADA">
        <w:rPr>
          <w:sz w:val="18"/>
          <w:szCs w:val="18"/>
        </w:rPr>
        <w:t xml:space="preserve"> For more information on grant rates/co-financing see section </w:t>
      </w:r>
      <w:r w:rsidRPr="00A53ADA">
        <w:rPr>
          <w:sz w:val="18"/>
          <w:szCs w:val="18"/>
        </w:rPr>
        <w:fldChar w:fldCharType="begin"/>
      </w:r>
      <w:r w:rsidRPr="00A53ADA">
        <w:rPr>
          <w:sz w:val="18"/>
          <w:szCs w:val="18"/>
        </w:rPr>
        <w:instrText xml:space="preserve"> REF _Ref464482320 \r \h  \* MERGEFORMAT </w:instrText>
      </w:r>
      <w:r w:rsidRPr="00A53ADA">
        <w:rPr>
          <w:sz w:val="18"/>
          <w:szCs w:val="18"/>
        </w:rPr>
      </w:r>
      <w:r w:rsidRPr="00A53ADA">
        <w:rPr>
          <w:sz w:val="18"/>
          <w:szCs w:val="18"/>
        </w:rPr>
        <w:fldChar w:fldCharType="separate"/>
      </w:r>
      <w:r>
        <w:rPr>
          <w:sz w:val="18"/>
          <w:szCs w:val="18"/>
        </w:rPr>
        <w:t>2.2</w:t>
      </w:r>
      <w:r w:rsidRPr="00A53ADA">
        <w:rPr>
          <w:sz w:val="18"/>
          <w:szCs w:val="18"/>
        </w:rPr>
        <w:fldChar w:fldCharType="end"/>
      </w:r>
      <w:r w:rsidRPr="00A53ADA">
        <w:rPr>
          <w:sz w:val="18"/>
          <w:szCs w:val="18"/>
        </w:rPr>
        <w:t xml:space="preserve"> of this guidance document.</w:t>
      </w:r>
    </w:p>
  </w:footnote>
  <w:footnote w:id="10">
    <w:p w14:paraId="6A4378B9" w14:textId="1B53E54D" w:rsidR="00A87AB3" w:rsidRPr="0077195C" w:rsidRDefault="00A87AB3" w:rsidP="00640E2E">
      <w:pPr>
        <w:pStyle w:val="Default"/>
        <w:rPr>
          <w:rFonts w:ascii="Times New Roman" w:hAnsi="Times New Roman" w:cs="Times New Roman"/>
          <w:sz w:val="18"/>
          <w:szCs w:val="18"/>
        </w:rPr>
      </w:pPr>
      <w:r w:rsidRPr="00A53ADA">
        <w:rPr>
          <w:rStyle w:val="FootnoteReference"/>
          <w:rFonts w:ascii="Verdana" w:hAnsi="Verdana" w:cstheme="minorBidi"/>
          <w:color w:val="auto"/>
          <w:sz w:val="18"/>
          <w:szCs w:val="18"/>
        </w:rPr>
        <w:footnoteRef/>
      </w:r>
      <w:r w:rsidRPr="00A53ADA">
        <w:rPr>
          <w:rFonts w:ascii="Verdana" w:hAnsi="Verdana"/>
          <w:sz w:val="18"/>
          <w:szCs w:val="18"/>
        </w:rPr>
        <w:t xml:space="preserve"> </w:t>
      </w:r>
      <w:r w:rsidRPr="00A53ADA">
        <w:rPr>
          <w:rFonts w:ascii="Verdana" w:hAnsi="Verdana" w:cstheme="minorBidi"/>
          <w:color w:val="auto"/>
          <w:sz w:val="18"/>
          <w:szCs w:val="18"/>
        </w:rPr>
        <w:t>Subject to contrary provisions in national law</w:t>
      </w:r>
      <w:r w:rsidR="003F3000">
        <w:rPr>
          <w:rFonts w:ascii="Times New Roman" w:hAnsi="Times New Roman" w:cs="Times New Roman"/>
          <w:sz w:val="18"/>
          <w:szCs w:val="18"/>
        </w:rPr>
        <w:t>.</w:t>
      </w:r>
    </w:p>
  </w:footnote>
  <w:footnote w:id="11">
    <w:p w14:paraId="397B51DC" w14:textId="419CE923" w:rsidR="00A87AB3" w:rsidRPr="00BB7039" w:rsidRDefault="00A87AB3" w:rsidP="00264CD7">
      <w:pPr>
        <w:pStyle w:val="FootnoteText"/>
        <w:rPr>
          <w:sz w:val="18"/>
          <w:szCs w:val="18"/>
        </w:rPr>
      </w:pPr>
      <w:r w:rsidRPr="00BB7039">
        <w:rPr>
          <w:rStyle w:val="FootnoteReference"/>
          <w:sz w:val="18"/>
          <w:szCs w:val="18"/>
        </w:rPr>
        <w:footnoteRef/>
      </w:r>
      <w:r w:rsidRPr="00BB7039">
        <w:rPr>
          <w:sz w:val="18"/>
          <w:szCs w:val="18"/>
        </w:rPr>
        <w:t xml:space="preserve"> For more information on the P</w:t>
      </w:r>
      <w:r>
        <w:rPr>
          <w:sz w:val="18"/>
          <w:szCs w:val="18"/>
        </w:rPr>
        <w:t>A</w:t>
      </w:r>
      <w:r w:rsidRPr="00BB7039">
        <w:rPr>
          <w:sz w:val="18"/>
          <w:szCs w:val="18"/>
        </w:rPr>
        <w:t xml:space="preserve"> see section </w:t>
      </w:r>
      <w:r w:rsidRPr="00BB7039">
        <w:rPr>
          <w:sz w:val="18"/>
          <w:szCs w:val="18"/>
        </w:rPr>
        <w:fldChar w:fldCharType="begin"/>
      </w:r>
      <w:r w:rsidRPr="00BB7039">
        <w:rPr>
          <w:sz w:val="18"/>
          <w:szCs w:val="18"/>
        </w:rPr>
        <w:instrText xml:space="preserve"> REF _Ref462300548 \n \h </w:instrText>
      </w:r>
      <w:r>
        <w:rPr>
          <w:sz w:val="18"/>
          <w:szCs w:val="18"/>
        </w:rPr>
        <w:instrText xml:space="preserve"> \* MERGEFORMAT </w:instrText>
      </w:r>
      <w:r w:rsidRPr="00BB7039">
        <w:rPr>
          <w:sz w:val="18"/>
          <w:szCs w:val="18"/>
        </w:rPr>
      </w:r>
      <w:r w:rsidRPr="00BB7039">
        <w:rPr>
          <w:sz w:val="18"/>
          <w:szCs w:val="18"/>
        </w:rPr>
        <w:fldChar w:fldCharType="separate"/>
      </w:r>
      <w:r>
        <w:rPr>
          <w:sz w:val="18"/>
          <w:szCs w:val="18"/>
        </w:rPr>
        <w:t>2.1</w:t>
      </w:r>
      <w:r w:rsidRPr="00BB7039">
        <w:rPr>
          <w:sz w:val="18"/>
          <w:szCs w:val="18"/>
        </w:rPr>
        <w:fldChar w:fldCharType="end"/>
      </w:r>
      <w:r w:rsidRPr="00BB7039">
        <w:rPr>
          <w:sz w:val="18"/>
          <w:szCs w:val="18"/>
        </w:rPr>
        <w:t xml:space="preserve"> of this guidance document.</w:t>
      </w:r>
    </w:p>
  </w:footnote>
  <w:footnote w:id="12">
    <w:p w14:paraId="4B004581" w14:textId="4332E808" w:rsidR="00A87AB3" w:rsidRPr="0077195C" w:rsidRDefault="00A87AB3" w:rsidP="00264CD7">
      <w:pPr>
        <w:pStyle w:val="FootnoteText"/>
        <w:rPr>
          <w:sz w:val="18"/>
          <w:szCs w:val="18"/>
        </w:rPr>
      </w:pPr>
      <w:r w:rsidRPr="0077195C">
        <w:rPr>
          <w:rStyle w:val="FootnoteReference"/>
          <w:sz w:val="18"/>
          <w:szCs w:val="18"/>
        </w:rPr>
        <w:footnoteRef/>
      </w:r>
      <w:r w:rsidRPr="0077195C">
        <w:rPr>
          <w:sz w:val="18"/>
          <w:szCs w:val="18"/>
        </w:rPr>
        <w:t xml:space="preserve"> A separate user manual describing the layout of the </w:t>
      </w:r>
      <w:r>
        <w:rPr>
          <w:sz w:val="18"/>
          <w:szCs w:val="18"/>
        </w:rPr>
        <w:t>IFR</w:t>
      </w:r>
      <w:r w:rsidRPr="0077195C">
        <w:rPr>
          <w:sz w:val="18"/>
          <w:szCs w:val="18"/>
        </w:rPr>
        <w:t xml:space="preserve"> and how this shall be completed in the </w:t>
      </w:r>
      <w:r>
        <w:rPr>
          <w:sz w:val="18"/>
          <w:szCs w:val="18"/>
        </w:rPr>
        <w:t>information system</w:t>
      </w:r>
      <w:r w:rsidRPr="0077195C">
        <w:rPr>
          <w:sz w:val="18"/>
          <w:szCs w:val="18"/>
        </w:rPr>
        <w:t xml:space="preserve"> interface will be made available.</w:t>
      </w:r>
    </w:p>
  </w:footnote>
  <w:footnote w:id="13">
    <w:p w14:paraId="377FF468" w14:textId="77777777" w:rsidR="00A87AB3" w:rsidRPr="000D2519" w:rsidRDefault="00A87AB3" w:rsidP="00B37EF1">
      <w:pPr>
        <w:autoSpaceDE w:val="0"/>
        <w:autoSpaceDN w:val="0"/>
        <w:adjustRightInd w:val="0"/>
        <w:spacing w:after="100" w:afterAutospacing="1" w:line="240" w:lineRule="auto"/>
        <w:jc w:val="left"/>
        <w:rPr>
          <w:sz w:val="18"/>
          <w:szCs w:val="18"/>
        </w:rPr>
      </w:pPr>
      <w:r w:rsidRPr="000D2519">
        <w:rPr>
          <w:rStyle w:val="FootnoteReference"/>
          <w:sz w:val="18"/>
          <w:szCs w:val="18"/>
        </w:rPr>
        <w:footnoteRef/>
      </w:r>
      <w:r w:rsidRPr="000D2519">
        <w:rPr>
          <w:sz w:val="18"/>
          <w:szCs w:val="18"/>
        </w:rPr>
        <w:t xml:space="preserve"> The EC “Guidance for Member States on management verifications” related to EU law including: public procurement, environment, and state aid available at </w:t>
      </w:r>
      <w:hyperlink r:id="rId1" w:history="1">
        <w:r w:rsidRPr="000D2519">
          <w:rPr>
            <w:rStyle w:val="Hyperlink"/>
            <w:sz w:val="18"/>
            <w:szCs w:val="18"/>
          </w:rPr>
          <w:t>http://ec.europa.eu/regional_policy/sources/docgener/informat/2014/guidance_management_verifications_en.pdf</w:t>
        </w:r>
      </w:hyperlink>
      <w:r w:rsidRPr="000D2519">
        <w:rPr>
          <w:sz w:val="18"/>
          <w:szCs w:val="18"/>
        </w:rPr>
        <w:t>.</w:t>
      </w:r>
    </w:p>
    <w:p w14:paraId="42D0060F" w14:textId="77777777" w:rsidR="00A87AB3" w:rsidRPr="007E6EE4" w:rsidRDefault="00A87AB3" w:rsidP="00B37EF1">
      <w:pPr>
        <w:pStyle w:val="FootnoteText"/>
      </w:pPr>
    </w:p>
  </w:footnote>
  <w:footnote w:id="14">
    <w:p w14:paraId="1027E9DA" w14:textId="3834D503" w:rsidR="00A87AB3" w:rsidRPr="00042694" w:rsidRDefault="00A87AB3">
      <w:pPr>
        <w:pStyle w:val="FootnoteText"/>
      </w:pPr>
      <w:r>
        <w:rPr>
          <w:rStyle w:val="FootnoteReference"/>
        </w:rPr>
        <w:footnoteRef/>
      </w:r>
      <w:r>
        <w:t xml:space="preserve"> </w:t>
      </w:r>
      <w:r w:rsidRPr="00C30879">
        <w:rPr>
          <w:sz w:val="18"/>
          <w:szCs w:val="18"/>
        </w:rPr>
        <w:t>A template for certification of costs claimed by donor partner is attached as an annex to the Bilateral Guideline. The template is also annexed to this document (Annex 5.6).</w:t>
      </w:r>
      <w:r>
        <w:t xml:space="preserve"> </w:t>
      </w:r>
    </w:p>
  </w:footnote>
  <w:footnote w:id="15">
    <w:p w14:paraId="1A2AC91D" w14:textId="77777777" w:rsidR="00A87AB3" w:rsidRPr="00CC3C4F" w:rsidRDefault="00A87AB3" w:rsidP="00A65038">
      <w:pPr>
        <w:pStyle w:val="FootnoteText"/>
        <w:rPr>
          <w:sz w:val="18"/>
          <w:szCs w:val="18"/>
          <w:lang w:val="en-US"/>
        </w:rPr>
      </w:pPr>
      <w:r w:rsidRPr="00CC3C4F">
        <w:rPr>
          <w:rStyle w:val="FootnoteReference"/>
          <w:sz w:val="18"/>
          <w:szCs w:val="18"/>
        </w:rPr>
        <w:footnoteRef/>
      </w:r>
      <w:r w:rsidRPr="00CC3C4F">
        <w:rPr>
          <w:sz w:val="18"/>
          <w:szCs w:val="18"/>
        </w:rPr>
        <w:t xml:space="preserve"> </w:t>
      </w:r>
      <w:r w:rsidRPr="00CC3C4F">
        <w:rPr>
          <w:rFonts w:cs="Times New Roman"/>
          <w:color w:val="000000"/>
          <w:sz w:val="18"/>
          <w:szCs w:val="18"/>
        </w:rPr>
        <w:t>In this respect, the AA should consider the Guideline No 25 of the European Implementing Guidelines for the INTOSAI Auditing Standards, related to the concept of using the work of other auditors and experts by the European Supreme Audit Institutions. Further guidance is provided by the ISSAI 1600 concerning group audits, ISSAI 1610 (includes ISA 610) on the use of the work of internal auditor, and by ISSAI 1620 on using the work of an auditor's expert.</w:t>
      </w:r>
    </w:p>
  </w:footnote>
  <w:footnote w:id="16">
    <w:p w14:paraId="76722730" w14:textId="677201CC" w:rsidR="00A87AB3" w:rsidRPr="0027466E" w:rsidRDefault="00A87AB3" w:rsidP="00C867DE">
      <w:pPr>
        <w:pStyle w:val="FootnoteText"/>
        <w:rPr>
          <w:sz w:val="18"/>
          <w:szCs w:val="18"/>
        </w:rPr>
      </w:pPr>
      <w:r w:rsidRPr="0027466E">
        <w:rPr>
          <w:rStyle w:val="FootnoteReference"/>
          <w:sz w:val="18"/>
          <w:szCs w:val="18"/>
        </w:rPr>
        <w:footnoteRef/>
      </w:r>
      <w:r w:rsidRPr="0027466E">
        <w:rPr>
          <w:sz w:val="18"/>
          <w:szCs w:val="18"/>
        </w:rPr>
        <w:t xml:space="preserve"> A separate user manual describing the layout of the F</w:t>
      </w:r>
      <w:r>
        <w:rPr>
          <w:sz w:val="18"/>
          <w:szCs w:val="18"/>
        </w:rPr>
        <w:t>PR</w:t>
      </w:r>
      <w:r w:rsidRPr="0027466E">
        <w:rPr>
          <w:sz w:val="18"/>
          <w:szCs w:val="18"/>
        </w:rPr>
        <w:t xml:space="preserve"> and how this shall be completed in the </w:t>
      </w:r>
      <w:r>
        <w:rPr>
          <w:sz w:val="18"/>
          <w:szCs w:val="18"/>
        </w:rPr>
        <w:t xml:space="preserve">information system </w:t>
      </w:r>
      <w:r w:rsidRPr="0027466E">
        <w:rPr>
          <w:sz w:val="18"/>
          <w:szCs w:val="18"/>
        </w:rPr>
        <w:t>will be made available.</w:t>
      </w:r>
    </w:p>
  </w:footnote>
  <w:footnote w:id="17">
    <w:p w14:paraId="6FFC2616" w14:textId="19D9AE0F" w:rsidR="00A87AB3" w:rsidRPr="00DD79CE" w:rsidRDefault="00A87AB3" w:rsidP="00042694">
      <w:pPr>
        <w:pStyle w:val="FootnoteText"/>
        <w:rPr>
          <w:sz w:val="18"/>
          <w:szCs w:val="18"/>
        </w:rPr>
      </w:pPr>
      <w:r w:rsidRPr="00DD79CE">
        <w:rPr>
          <w:rStyle w:val="FootnoteReference"/>
          <w:sz w:val="18"/>
          <w:szCs w:val="18"/>
        </w:rPr>
        <w:footnoteRef/>
      </w:r>
      <w:r w:rsidRPr="00DD79CE">
        <w:rPr>
          <w:sz w:val="18"/>
          <w:szCs w:val="18"/>
        </w:rPr>
        <w:t xml:space="preserve"> A breakdown of the costs cert</w:t>
      </w:r>
      <w:r>
        <w:rPr>
          <w:sz w:val="18"/>
          <w:szCs w:val="18"/>
        </w:rPr>
        <w:t>ified should be provided as an a</w:t>
      </w:r>
      <w:r w:rsidRPr="00DD79CE">
        <w:rPr>
          <w:sz w:val="18"/>
          <w:szCs w:val="18"/>
        </w:rPr>
        <w:t>nnex</w:t>
      </w:r>
    </w:p>
  </w:footnote>
  <w:footnote w:id="18">
    <w:p w14:paraId="374E0657" w14:textId="7D5F6172" w:rsidR="00A87AB3" w:rsidRPr="00DD79CE" w:rsidRDefault="00A87AB3" w:rsidP="00042694">
      <w:pPr>
        <w:pStyle w:val="FootnoteText"/>
        <w:rPr>
          <w:sz w:val="18"/>
          <w:szCs w:val="18"/>
        </w:rPr>
      </w:pPr>
      <w:r w:rsidRPr="00DD79CE">
        <w:rPr>
          <w:rStyle w:val="FootnoteReference"/>
          <w:sz w:val="18"/>
          <w:szCs w:val="18"/>
        </w:rPr>
        <w:footnoteRef/>
      </w:r>
      <w:r w:rsidRPr="00DD79CE">
        <w:rPr>
          <w:sz w:val="18"/>
          <w:szCs w:val="18"/>
        </w:rPr>
        <w:t xml:space="preserve"> </w:t>
      </w:r>
      <w:r w:rsidRPr="00DD79CE">
        <w:rPr>
          <w:sz w:val="18"/>
          <w:szCs w:val="18"/>
          <w:lang w:val="en-US"/>
        </w:rPr>
        <w:t>Provisions on eligibility</w:t>
      </w:r>
      <w:r>
        <w:rPr>
          <w:sz w:val="18"/>
          <w:szCs w:val="18"/>
          <w:lang w:val="en-US"/>
        </w:rPr>
        <w:t xml:space="preserve"> of expenditures are stated in c</w:t>
      </w:r>
      <w:r w:rsidRPr="00DD79CE">
        <w:rPr>
          <w:sz w:val="18"/>
          <w:szCs w:val="18"/>
          <w:lang w:val="en-US"/>
        </w:rPr>
        <w:t>hapter 8 of the Regulations</w:t>
      </w:r>
    </w:p>
  </w:footnote>
  <w:footnote w:id="19">
    <w:p w14:paraId="47560442" w14:textId="77777777" w:rsidR="00A87AB3" w:rsidRPr="00895076" w:rsidRDefault="00A87AB3" w:rsidP="00042694">
      <w:pPr>
        <w:pStyle w:val="FootnoteText"/>
        <w:rPr>
          <w:lang w:val="en-US"/>
        </w:rPr>
      </w:pPr>
      <w:r w:rsidRPr="00DD79CE">
        <w:rPr>
          <w:rStyle w:val="FootnoteReference"/>
          <w:sz w:val="18"/>
          <w:szCs w:val="18"/>
        </w:rPr>
        <w:footnoteRef/>
      </w:r>
      <w:r w:rsidRPr="00DD79CE">
        <w:rPr>
          <w:sz w:val="18"/>
          <w:szCs w:val="18"/>
        </w:rPr>
        <w:t xml:space="preserve"> Auditor shall be </w:t>
      </w:r>
      <w:r w:rsidRPr="00DD79CE">
        <w:rPr>
          <w:sz w:val="18"/>
          <w:szCs w:val="18"/>
          <w:lang w:val="en-US"/>
        </w:rPr>
        <w:t>qualified to carry out statutory audits of accounting documents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72DC"/>
    <w:multiLevelType w:val="hybridMultilevel"/>
    <w:tmpl w:val="ADEEF8BC"/>
    <w:lvl w:ilvl="0" w:tplc="00C869C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26770"/>
    <w:multiLevelType w:val="hybridMultilevel"/>
    <w:tmpl w:val="6E342FEA"/>
    <w:lvl w:ilvl="0" w:tplc="FA761510">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5A2F63"/>
    <w:multiLevelType w:val="hybridMultilevel"/>
    <w:tmpl w:val="58728F4C"/>
    <w:lvl w:ilvl="0" w:tplc="024217CC">
      <w:start w:val="1"/>
      <w:numFmt w:val="decimal"/>
      <w:lvlText w:val="%1)"/>
      <w:lvlJc w:val="left"/>
      <w:pPr>
        <w:ind w:left="284" w:hanging="284"/>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BCA7002"/>
    <w:multiLevelType w:val="hybridMultilevel"/>
    <w:tmpl w:val="523E9FFE"/>
    <w:lvl w:ilvl="0" w:tplc="20A854E6">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B808A6"/>
    <w:multiLevelType w:val="hybridMultilevel"/>
    <w:tmpl w:val="86FE2EC4"/>
    <w:lvl w:ilvl="0" w:tplc="B010FF2A">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976B95"/>
    <w:multiLevelType w:val="hybridMultilevel"/>
    <w:tmpl w:val="1EC6083C"/>
    <w:lvl w:ilvl="0" w:tplc="024217CC">
      <w:start w:val="1"/>
      <w:numFmt w:val="decimal"/>
      <w:lvlText w:val="%1)"/>
      <w:lvlJc w:val="left"/>
      <w:pPr>
        <w:ind w:left="284" w:hanging="284"/>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2A0E77"/>
    <w:multiLevelType w:val="hybridMultilevel"/>
    <w:tmpl w:val="91562C66"/>
    <w:lvl w:ilvl="0" w:tplc="08090019">
      <w:start w:val="1"/>
      <w:numFmt w:val="lowerLetter"/>
      <w:lvlText w:val="%1."/>
      <w:lvlJc w:val="left"/>
      <w:pPr>
        <w:ind w:left="284" w:hanging="284"/>
      </w:pPr>
      <w:rPr>
        <w:rFonts w:hint="default"/>
      </w:rPr>
    </w:lvl>
    <w:lvl w:ilvl="1" w:tplc="0CD46F52">
      <w:numFmt w:val="bullet"/>
      <w:lvlText w:val="•"/>
      <w:lvlJc w:val="left"/>
      <w:pPr>
        <w:ind w:left="1440" w:hanging="36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93FF9"/>
    <w:multiLevelType w:val="hybridMultilevel"/>
    <w:tmpl w:val="E9483504"/>
    <w:lvl w:ilvl="0" w:tplc="44F0FE00">
      <w:start w:val="1"/>
      <w:numFmt w:val="decimal"/>
      <w:lvlText w:val="%1)"/>
      <w:lvlJc w:val="left"/>
      <w:pPr>
        <w:ind w:left="284" w:hanging="284"/>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8B5A2F"/>
    <w:multiLevelType w:val="multilevel"/>
    <w:tmpl w:val="0088C0CC"/>
    <w:lvl w:ilvl="0">
      <w:start w:val="1"/>
      <w:numFmt w:val="decimal"/>
      <w:pStyle w:val="TOC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783BD3"/>
    <w:multiLevelType w:val="hybridMultilevel"/>
    <w:tmpl w:val="F8E4DDAC"/>
    <w:lvl w:ilvl="0" w:tplc="79ECEC40">
      <w:start w:val="1"/>
      <w:numFmt w:val="bullet"/>
      <w:lvlText w:val=""/>
      <w:lvlJc w:val="left"/>
      <w:pPr>
        <w:ind w:left="284" w:hanging="284"/>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EF53D2"/>
    <w:multiLevelType w:val="hybridMultilevel"/>
    <w:tmpl w:val="A16E908E"/>
    <w:lvl w:ilvl="0" w:tplc="F2CC24C2">
      <w:start w:val="1"/>
      <w:numFmt w:val="decimal"/>
      <w:lvlText w:val="%1)"/>
      <w:lvlJc w:val="left"/>
      <w:pPr>
        <w:ind w:left="284" w:hanging="284"/>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534AD8"/>
    <w:multiLevelType w:val="hybridMultilevel"/>
    <w:tmpl w:val="56C07E8A"/>
    <w:lvl w:ilvl="0" w:tplc="6D0AAD3A">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4905FF7"/>
    <w:multiLevelType w:val="hybridMultilevel"/>
    <w:tmpl w:val="F0F23410"/>
    <w:lvl w:ilvl="0" w:tplc="78BA1D06">
      <w:start w:val="1"/>
      <w:numFmt w:val="decimal"/>
      <w:lvlText w:val="%1)"/>
      <w:lvlJc w:val="left"/>
      <w:pPr>
        <w:ind w:left="284" w:hanging="284"/>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427BDA"/>
    <w:multiLevelType w:val="hybridMultilevel"/>
    <w:tmpl w:val="1A4ACDC2"/>
    <w:lvl w:ilvl="0" w:tplc="6ECCF45C">
      <w:start w:val="1"/>
      <w:numFmt w:val="low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8B4EF9"/>
    <w:multiLevelType w:val="hybridMultilevel"/>
    <w:tmpl w:val="BD2276C0"/>
    <w:lvl w:ilvl="0" w:tplc="CDE41B62">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291128"/>
    <w:multiLevelType w:val="hybridMultilevel"/>
    <w:tmpl w:val="09463274"/>
    <w:lvl w:ilvl="0" w:tplc="E39EB91C">
      <w:start w:val="1"/>
      <w:numFmt w:val="bullet"/>
      <w:lvlText w:val=""/>
      <w:lvlJc w:val="left"/>
      <w:pPr>
        <w:ind w:left="284" w:hanging="284"/>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F48C4"/>
    <w:multiLevelType w:val="hybridMultilevel"/>
    <w:tmpl w:val="DA00EFBC"/>
    <w:lvl w:ilvl="0" w:tplc="5B3CA7F4">
      <w:start w:val="1"/>
      <w:numFmt w:val="decimal"/>
      <w:lvlText w:val="%1)"/>
      <w:lvlJc w:val="left"/>
      <w:pPr>
        <w:ind w:left="284" w:hanging="284"/>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C834A1"/>
    <w:multiLevelType w:val="hybridMultilevel"/>
    <w:tmpl w:val="A218FE96"/>
    <w:lvl w:ilvl="0" w:tplc="5510DE4C">
      <w:start w:val="3"/>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344433"/>
    <w:multiLevelType w:val="hybridMultilevel"/>
    <w:tmpl w:val="7C041162"/>
    <w:lvl w:ilvl="0" w:tplc="D5FCC030">
      <w:start w:val="16"/>
      <w:numFmt w:val="bullet"/>
      <w:lvlText w:val="-"/>
      <w:lvlJc w:val="left"/>
      <w:pPr>
        <w:ind w:left="644" w:hanging="360"/>
      </w:pPr>
      <w:rPr>
        <w:rFonts w:ascii="Corbel" w:eastAsiaTheme="minorEastAsia" w:hAnsi="Corbel"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46C64D1C"/>
    <w:multiLevelType w:val="hybridMultilevel"/>
    <w:tmpl w:val="D6CAA8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A83790"/>
    <w:multiLevelType w:val="hybridMultilevel"/>
    <w:tmpl w:val="CAD6EC7A"/>
    <w:lvl w:ilvl="0" w:tplc="08090011">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9283E25"/>
    <w:multiLevelType w:val="multilevel"/>
    <w:tmpl w:val="85CA0E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color w:val="C45911" w:themeColor="accent2" w:themeShade="BF"/>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A8D57E4"/>
    <w:multiLevelType w:val="hybridMultilevel"/>
    <w:tmpl w:val="389E90E2"/>
    <w:lvl w:ilvl="0" w:tplc="B43E33FC">
      <w:start w:val="1"/>
      <w:numFmt w:val="bullet"/>
      <w:lvlText w:val=""/>
      <w:lvlJc w:val="left"/>
      <w:pPr>
        <w:ind w:left="-351" w:hanging="360"/>
      </w:pPr>
      <w:rPr>
        <w:rFonts w:ascii="Symbol" w:hAnsi="Symbol" w:hint="default"/>
        <w:color w:val="auto"/>
      </w:rPr>
    </w:lvl>
    <w:lvl w:ilvl="1" w:tplc="08090003">
      <w:start w:val="1"/>
      <w:numFmt w:val="bullet"/>
      <w:lvlText w:val="o"/>
      <w:lvlJc w:val="left"/>
      <w:pPr>
        <w:ind w:left="369" w:hanging="360"/>
      </w:pPr>
      <w:rPr>
        <w:rFonts w:ascii="Courier New" w:hAnsi="Courier New" w:cs="Courier New" w:hint="default"/>
      </w:rPr>
    </w:lvl>
    <w:lvl w:ilvl="2" w:tplc="08090005" w:tentative="1">
      <w:start w:val="1"/>
      <w:numFmt w:val="bullet"/>
      <w:lvlText w:val=""/>
      <w:lvlJc w:val="left"/>
      <w:pPr>
        <w:ind w:left="1089" w:hanging="360"/>
      </w:pPr>
      <w:rPr>
        <w:rFonts w:ascii="Wingdings" w:hAnsi="Wingdings" w:hint="default"/>
      </w:rPr>
    </w:lvl>
    <w:lvl w:ilvl="3" w:tplc="08090001" w:tentative="1">
      <w:start w:val="1"/>
      <w:numFmt w:val="bullet"/>
      <w:lvlText w:val=""/>
      <w:lvlJc w:val="left"/>
      <w:pPr>
        <w:ind w:left="1809" w:hanging="360"/>
      </w:pPr>
      <w:rPr>
        <w:rFonts w:ascii="Symbol" w:hAnsi="Symbol" w:hint="default"/>
      </w:rPr>
    </w:lvl>
    <w:lvl w:ilvl="4" w:tplc="08090003" w:tentative="1">
      <w:start w:val="1"/>
      <w:numFmt w:val="bullet"/>
      <w:lvlText w:val="o"/>
      <w:lvlJc w:val="left"/>
      <w:pPr>
        <w:ind w:left="2529" w:hanging="360"/>
      </w:pPr>
      <w:rPr>
        <w:rFonts w:ascii="Courier New" w:hAnsi="Courier New" w:cs="Courier New" w:hint="default"/>
      </w:rPr>
    </w:lvl>
    <w:lvl w:ilvl="5" w:tplc="08090005" w:tentative="1">
      <w:start w:val="1"/>
      <w:numFmt w:val="bullet"/>
      <w:lvlText w:val=""/>
      <w:lvlJc w:val="left"/>
      <w:pPr>
        <w:ind w:left="3249" w:hanging="360"/>
      </w:pPr>
      <w:rPr>
        <w:rFonts w:ascii="Wingdings" w:hAnsi="Wingdings" w:hint="default"/>
      </w:rPr>
    </w:lvl>
    <w:lvl w:ilvl="6" w:tplc="08090001" w:tentative="1">
      <w:start w:val="1"/>
      <w:numFmt w:val="bullet"/>
      <w:lvlText w:val=""/>
      <w:lvlJc w:val="left"/>
      <w:pPr>
        <w:ind w:left="3969" w:hanging="360"/>
      </w:pPr>
      <w:rPr>
        <w:rFonts w:ascii="Symbol" w:hAnsi="Symbol" w:hint="default"/>
      </w:rPr>
    </w:lvl>
    <w:lvl w:ilvl="7" w:tplc="08090003" w:tentative="1">
      <w:start w:val="1"/>
      <w:numFmt w:val="bullet"/>
      <w:lvlText w:val="o"/>
      <w:lvlJc w:val="left"/>
      <w:pPr>
        <w:ind w:left="4689" w:hanging="360"/>
      </w:pPr>
      <w:rPr>
        <w:rFonts w:ascii="Courier New" w:hAnsi="Courier New" w:cs="Courier New" w:hint="default"/>
      </w:rPr>
    </w:lvl>
    <w:lvl w:ilvl="8" w:tplc="08090005" w:tentative="1">
      <w:start w:val="1"/>
      <w:numFmt w:val="bullet"/>
      <w:lvlText w:val=""/>
      <w:lvlJc w:val="left"/>
      <w:pPr>
        <w:ind w:left="5409" w:hanging="360"/>
      </w:pPr>
      <w:rPr>
        <w:rFonts w:ascii="Wingdings" w:hAnsi="Wingdings" w:hint="default"/>
      </w:rPr>
    </w:lvl>
  </w:abstractNum>
  <w:abstractNum w:abstractNumId="23" w15:restartNumberingAfterBreak="0">
    <w:nsid w:val="4E5F4BE8"/>
    <w:multiLevelType w:val="hybridMultilevel"/>
    <w:tmpl w:val="80A6C2F8"/>
    <w:lvl w:ilvl="0" w:tplc="6D8AD82C">
      <w:start w:val="1"/>
      <w:numFmt w:val="decimal"/>
      <w:lvlText w:val="%1)"/>
      <w:lvlJc w:val="left"/>
      <w:pPr>
        <w:ind w:left="284" w:hanging="284"/>
      </w:pPr>
      <w:rPr>
        <w:rFonts w:hint="default"/>
      </w:rPr>
    </w:lvl>
    <w:lvl w:ilvl="1" w:tplc="AA76DDCC">
      <w:numFmt w:val="bullet"/>
      <w:lvlText w:val="-"/>
      <w:lvlJc w:val="left"/>
      <w:pPr>
        <w:ind w:left="1077" w:hanging="357"/>
      </w:pPr>
      <w:rPr>
        <w:rFonts w:ascii="Verdana" w:eastAsiaTheme="minorHAnsi" w:hAnsi="Verdana"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6A6C80"/>
    <w:multiLevelType w:val="hybridMultilevel"/>
    <w:tmpl w:val="DBC4ABB6"/>
    <w:lvl w:ilvl="0" w:tplc="C53E5D54">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4278B"/>
    <w:multiLevelType w:val="hybridMultilevel"/>
    <w:tmpl w:val="0C1027DA"/>
    <w:lvl w:ilvl="0" w:tplc="19287A66">
      <w:start w:val="1"/>
      <w:numFmt w:val="decimal"/>
      <w:lvlText w:val="%1)"/>
      <w:lvlJc w:val="left"/>
      <w:pPr>
        <w:ind w:left="284" w:hanging="284"/>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90A13"/>
    <w:multiLevelType w:val="hybridMultilevel"/>
    <w:tmpl w:val="412CA9FC"/>
    <w:lvl w:ilvl="0" w:tplc="C120768C">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0E7A00"/>
    <w:multiLevelType w:val="hybridMultilevel"/>
    <w:tmpl w:val="3D2E63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B40669F"/>
    <w:multiLevelType w:val="hybridMultilevel"/>
    <w:tmpl w:val="C6A06D8A"/>
    <w:lvl w:ilvl="0" w:tplc="B9DEF20E">
      <w:start w:val="1"/>
      <w:numFmt w:val="decimal"/>
      <w:lvlText w:val="%1)"/>
      <w:lvlJc w:val="left"/>
      <w:pPr>
        <w:ind w:left="284" w:hanging="284"/>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4A5F0F"/>
    <w:multiLevelType w:val="hybridMultilevel"/>
    <w:tmpl w:val="EAB81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1311F1"/>
    <w:multiLevelType w:val="hybridMultilevel"/>
    <w:tmpl w:val="DF9AA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520374"/>
    <w:multiLevelType w:val="hybridMultilevel"/>
    <w:tmpl w:val="3FF4F8A6"/>
    <w:lvl w:ilvl="0" w:tplc="DEE8062C">
      <w:start w:val="1"/>
      <w:numFmt w:val="decimal"/>
      <w:lvlText w:val="%1)"/>
      <w:lvlJc w:val="left"/>
      <w:pPr>
        <w:ind w:left="284" w:hanging="284"/>
      </w:pPr>
      <w:rPr>
        <w:rFonts w:hint="default"/>
      </w:rPr>
    </w:lvl>
    <w:lvl w:ilvl="1" w:tplc="DD06EA24">
      <w:start w:val="1"/>
      <w:numFmt w:val="bullet"/>
      <w:lvlText w:val=""/>
      <w:lvlJc w:val="left"/>
      <w:pPr>
        <w:ind w:left="1440" w:hanging="360"/>
      </w:pPr>
      <w:rPr>
        <w:rFonts w:ascii="Symbol" w:hAnsi="Symbol" w:hint="default"/>
        <w:sz w:val="2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3A5B29"/>
    <w:multiLevelType w:val="hybridMultilevel"/>
    <w:tmpl w:val="DE60BADC"/>
    <w:lvl w:ilvl="0" w:tplc="7666A7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5E5F99"/>
    <w:multiLevelType w:val="hybridMultilevel"/>
    <w:tmpl w:val="9E34AD98"/>
    <w:lvl w:ilvl="0" w:tplc="09A207C0">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D01F70"/>
    <w:multiLevelType w:val="hybridMultilevel"/>
    <w:tmpl w:val="2528CAC6"/>
    <w:lvl w:ilvl="0" w:tplc="5388F732">
      <w:start w:val="1"/>
      <w:numFmt w:val="upperRoman"/>
      <w:pStyle w:val="Bulleti"/>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2A0CE3"/>
    <w:multiLevelType w:val="hybridMultilevel"/>
    <w:tmpl w:val="CEE26974"/>
    <w:lvl w:ilvl="0" w:tplc="8508038E">
      <w:start w:val="1"/>
      <w:numFmt w:val="decimal"/>
      <w:lvlText w:val="%1)"/>
      <w:lvlJc w:val="left"/>
      <w:pPr>
        <w:ind w:left="284" w:hanging="284"/>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91750B"/>
    <w:multiLevelType w:val="hybridMultilevel"/>
    <w:tmpl w:val="0DFE31E6"/>
    <w:lvl w:ilvl="0" w:tplc="6D0AAD3A">
      <w:start w:val="1"/>
      <w:numFmt w:val="lowerLetter"/>
      <w:lvlText w:val="%1."/>
      <w:lvlJc w:val="left"/>
      <w:pPr>
        <w:ind w:left="1077" w:hanging="357"/>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6EE7580D"/>
    <w:multiLevelType w:val="multilevel"/>
    <w:tmpl w:val="87BA925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color w:val="C45911" w:themeColor="accent2" w:themeShade="BF"/>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754E7CCD"/>
    <w:multiLevelType w:val="hybridMultilevel"/>
    <w:tmpl w:val="E23EFB4C"/>
    <w:lvl w:ilvl="0" w:tplc="7B887902">
      <w:start w:val="1"/>
      <w:numFmt w:val="bullet"/>
      <w:lvlText w:val=""/>
      <w:lvlJc w:val="left"/>
      <w:pPr>
        <w:ind w:left="284" w:hanging="284"/>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223A90"/>
    <w:multiLevelType w:val="hybridMultilevel"/>
    <w:tmpl w:val="187E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1"/>
  </w:num>
  <w:num w:numId="4">
    <w:abstractNumId w:val="27"/>
  </w:num>
  <w:num w:numId="5">
    <w:abstractNumId w:val="14"/>
  </w:num>
  <w:num w:numId="6">
    <w:abstractNumId w:val="20"/>
  </w:num>
  <w:num w:numId="7">
    <w:abstractNumId w:val="2"/>
  </w:num>
  <w:num w:numId="8">
    <w:abstractNumId w:val="4"/>
  </w:num>
  <w:num w:numId="9">
    <w:abstractNumId w:val="1"/>
  </w:num>
  <w:num w:numId="10">
    <w:abstractNumId w:val="23"/>
  </w:num>
  <w:num w:numId="11">
    <w:abstractNumId w:val="25"/>
  </w:num>
  <w:num w:numId="12">
    <w:abstractNumId w:val="12"/>
  </w:num>
  <w:num w:numId="13">
    <w:abstractNumId w:val="28"/>
  </w:num>
  <w:num w:numId="14">
    <w:abstractNumId w:val="33"/>
  </w:num>
  <w:num w:numId="15">
    <w:abstractNumId w:val="16"/>
  </w:num>
  <w:num w:numId="16">
    <w:abstractNumId w:val="3"/>
  </w:num>
  <w:num w:numId="17">
    <w:abstractNumId w:val="10"/>
  </w:num>
  <w:num w:numId="18">
    <w:abstractNumId w:val="5"/>
  </w:num>
  <w:num w:numId="19">
    <w:abstractNumId w:val="38"/>
  </w:num>
  <w:num w:numId="20">
    <w:abstractNumId w:val="24"/>
  </w:num>
  <w:num w:numId="21">
    <w:abstractNumId w:val="26"/>
  </w:num>
  <w:num w:numId="22">
    <w:abstractNumId w:val="11"/>
  </w:num>
  <w:num w:numId="23">
    <w:abstractNumId w:val="36"/>
  </w:num>
  <w:num w:numId="24">
    <w:abstractNumId w:val="9"/>
  </w:num>
  <w:num w:numId="25">
    <w:abstractNumId w:val="35"/>
  </w:num>
  <w:num w:numId="26">
    <w:abstractNumId w:val="15"/>
  </w:num>
  <w:num w:numId="27">
    <w:abstractNumId w:val="6"/>
  </w:num>
  <w:num w:numId="28">
    <w:abstractNumId w:val="19"/>
  </w:num>
  <w:num w:numId="29">
    <w:abstractNumId w:val="34"/>
  </w:num>
  <w:num w:numId="30">
    <w:abstractNumId w:val="8"/>
  </w:num>
  <w:num w:numId="31">
    <w:abstractNumId w:val="17"/>
  </w:num>
  <w:num w:numId="32">
    <w:abstractNumId w:val="13"/>
  </w:num>
  <w:num w:numId="33">
    <w:abstractNumId w:val="29"/>
  </w:num>
  <w:num w:numId="34">
    <w:abstractNumId w:val="30"/>
  </w:num>
  <w:num w:numId="35">
    <w:abstractNumId w:val="39"/>
  </w:num>
  <w:num w:numId="36">
    <w:abstractNumId w:val="22"/>
  </w:num>
  <w:num w:numId="37">
    <w:abstractNumId w:val="18"/>
  </w:num>
  <w:num w:numId="38">
    <w:abstractNumId w:val="32"/>
  </w:num>
  <w:num w:numId="39">
    <w:abstractNumId w:val="21"/>
  </w:num>
  <w:num w:numId="40">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21"/>
    <w:rsid w:val="00001294"/>
    <w:rsid w:val="00002099"/>
    <w:rsid w:val="00003896"/>
    <w:rsid w:val="00004553"/>
    <w:rsid w:val="0000500B"/>
    <w:rsid w:val="000055AC"/>
    <w:rsid w:val="00005FC9"/>
    <w:rsid w:val="000074D5"/>
    <w:rsid w:val="0001108D"/>
    <w:rsid w:val="00012E7F"/>
    <w:rsid w:val="000136DF"/>
    <w:rsid w:val="00014556"/>
    <w:rsid w:val="00015859"/>
    <w:rsid w:val="000213C0"/>
    <w:rsid w:val="00023024"/>
    <w:rsid w:val="000230A5"/>
    <w:rsid w:val="00024640"/>
    <w:rsid w:val="00026095"/>
    <w:rsid w:val="000262E9"/>
    <w:rsid w:val="00030943"/>
    <w:rsid w:val="000313FE"/>
    <w:rsid w:val="00031F10"/>
    <w:rsid w:val="00032258"/>
    <w:rsid w:val="0003370F"/>
    <w:rsid w:val="00034EEF"/>
    <w:rsid w:val="0003764C"/>
    <w:rsid w:val="00041913"/>
    <w:rsid w:val="00041B2D"/>
    <w:rsid w:val="00042694"/>
    <w:rsid w:val="000428F5"/>
    <w:rsid w:val="00044084"/>
    <w:rsid w:val="00045C85"/>
    <w:rsid w:val="000511FC"/>
    <w:rsid w:val="00051B4D"/>
    <w:rsid w:val="0005321B"/>
    <w:rsid w:val="0005476F"/>
    <w:rsid w:val="00054885"/>
    <w:rsid w:val="0006034F"/>
    <w:rsid w:val="00061630"/>
    <w:rsid w:val="000660FF"/>
    <w:rsid w:val="0006735A"/>
    <w:rsid w:val="00076C80"/>
    <w:rsid w:val="00081B7B"/>
    <w:rsid w:val="000830E0"/>
    <w:rsid w:val="00083EEA"/>
    <w:rsid w:val="00086B18"/>
    <w:rsid w:val="00087907"/>
    <w:rsid w:val="00090A7E"/>
    <w:rsid w:val="0009153D"/>
    <w:rsid w:val="000920E8"/>
    <w:rsid w:val="000928BA"/>
    <w:rsid w:val="00094D10"/>
    <w:rsid w:val="00094EC1"/>
    <w:rsid w:val="000A1F9A"/>
    <w:rsid w:val="000A48BA"/>
    <w:rsid w:val="000A62E9"/>
    <w:rsid w:val="000A63D8"/>
    <w:rsid w:val="000B1B75"/>
    <w:rsid w:val="000B23EA"/>
    <w:rsid w:val="000B34A8"/>
    <w:rsid w:val="000B7E82"/>
    <w:rsid w:val="000C05C7"/>
    <w:rsid w:val="000C1461"/>
    <w:rsid w:val="000C58A8"/>
    <w:rsid w:val="000C61D8"/>
    <w:rsid w:val="000D0AE4"/>
    <w:rsid w:val="000D2519"/>
    <w:rsid w:val="000D3941"/>
    <w:rsid w:val="000D3A7D"/>
    <w:rsid w:val="000D47E0"/>
    <w:rsid w:val="000D4C4C"/>
    <w:rsid w:val="000D7D0D"/>
    <w:rsid w:val="000E1235"/>
    <w:rsid w:val="000E4EB8"/>
    <w:rsid w:val="000E6EB5"/>
    <w:rsid w:val="000F1CB1"/>
    <w:rsid w:val="000F2A10"/>
    <w:rsid w:val="000F2E1C"/>
    <w:rsid w:val="001000C4"/>
    <w:rsid w:val="0010036B"/>
    <w:rsid w:val="00100536"/>
    <w:rsid w:val="001032C0"/>
    <w:rsid w:val="00103B78"/>
    <w:rsid w:val="00104DF0"/>
    <w:rsid w:val="0010559C"/>
    <w:rsid w:val="00106891"/>
    <w:rsid w:val="001068DD"/>
    <w:rsid w:val="001101B7"/>
    <w:rsid w:val="001128F8"/>
    <w:rsid w:val="001137C5"/>
    <w:rsid w:val="00115052"/>
    <w:rsid w:val="00120ADA"/>
    <w:rsid w:val="001260E7"/>
    <w:rsid w:val="0012618C"/>
    <w:rsid w:val="00130AE0"/>
    <w:rsid w:val="00130B54"/>
    <w:rsid w:val="001315DE"/>
    <w:rsid w:val="00136916"/>
    <w:rsid w:val="00141160"/>
    <w:rsid w:val="001411FC"/>
    <w:rsid w:val="00146FA1"/>
    <w:rsid w:val="00147D69"/>
    <w:rsid w:val="0015031C"/>
    <w:rsid w:val="00150F7F"/>
    <w:rsid w:val="00151D00"/>
    <w:rsid w:val="001538E0"/>
    <w:rsid w:val="00153C78"/>
    <w:rsid w:val="00154299"/>
    <w:rsid w:val="00154997"/>
    <w:rsid w:val="001550C0"/>
    <w:rsid w:val="001556F8"/>
    <w:rsid w:val="0016010F"/>
    <w:rsid w:val="001614C2"/>
    <w:rsid w:val="00161A34"/>
    <w:rsid w:val="0016418E"/>
    <w:rsid w:val="001667D3"/>
    <w:rsid w:val="001678A8"/>
    <w:rsid w:val="0017095C"/>
    <w:rsid w:val="001734FB"/>
    <w:rsid w:val="00173860"/>
    <w:rsid w:val="00173FB8"/>
    <w:rsid w:val="001762D0"/>
    <w:rsid w:val="00177429"/>
    <w:rsid w:val="00181727"/>
    <w:rsid w:val="00181D99"/>
    <w:rsid w:val="00181F88"/>
    <w:rsid w:val="0018265C"/>
    <w:rsid w:val="001826AC"/>
    <w:rsid w:val="001872E6"/>
    <w:rsid w:val="00191EB2"/>
    <w:rsid w:val="00192F84"/>
    <w:rsid w:val="0019595E"/>
    <w:rsid w:val="001A05D8"/>
    <w:rsid w:val="001A0AE4"/>
    <w:rsid w:val="001A72E9"/>
    <w:rsid w:val="001A7C35"/>
    <w:rsid w:val="001B0AC8"/>
    <w:rsid w:val="001B2932"/>
    <w:rsid w:val="001B3CE1"/>
    <w:rsid w:val="001B543E"/>
    <w:rsid w:val="001B56CF"/>
    <w:rsid w:val="001B6DE0"/>
    <w:rsid w:val="001B796A"/>
    <w:rsid w:val="001C07BE"/>
    <w:rsid w:val="001C207E"/>
    <w:rsid w:val="001C3A07"/>
    <w:rsid w:val="001C3DD0"/>
    <w:rsid w:val="001C51DA"/>
    <w:rsid w:val="001C5681"/>
    <w:rsid w:val="001D1275"/>
    <w:rsid w:val="001D1A96"/>
    <w:rsid w:val="001D2B22"/>
    <w:rsid w:val="001D2C38"/>
    <w:rsid w:val="001D2E3B"/>
    <w:rsid w:val="001D34BC"/>
    <w:rsid w:val="001D4FFC"/>
    <w:rsid w:val="001D6470"/>
    <w:rsid w:val="001E2EC3"/>
    <w:rsid w:val="001E3875"/>
    <w:rsid w:val="001E41C2"/>
    <w:rsid w:val="001E5852"/>
    <w:rsid w:val="001E6225"/>
    <w:rsid w:val="001E6CD8"/>
    <w:rsid w:val="001F046E"/>
    <w:rsid w:val="001F1D11"/>
    <w:rsid w:val="0020018A"/>
    <w:rsid w:val="00200776"/>
    <w:rsid w:val="002060E6"/>
    <w:rsid w:val="002108B0"/>
    <w:rsid w:val="00211FCD"/>
    <w:rsid w:val="00215C6F"/>
    <w:rsid w:val="00215E29"/>
    <w:rsid w:val="00216DF2"/>
    <w:rsid w:val="00216F5D"/>
    <w:rsid w:val="00222112"/>
    <w:rsid w:val="00224E1A"/>
    <w:rsid w:val="00225E99"/>
    <w:rsid w:val="0022718E"/>
    <w:rsid w:val="00231058"/>
    <w:rsid w:val="00231154"/>
    <w:rsid w:val="00233432"/>
    <w:rsid w:val="00233AD8"/>
    <w:rsid w:val="00234DE9"/>
    <w:rsid w:val="00234E0D"/>
    <w:rsid w:val="00235336"/>
    <w:rsid w:val="002363D5"/>
    <w:rsid w:val="00236C8F"/>
    <w:rsid w:val="00236DF9"/>
    <w:rsid w:val="00237248"/>
    <w:rsid w:val="00243CDE"/>
    <w:rsid w:val="0024407D"/>
    <w:rsid w:val="002445CA"/>
    <w:rsid w:val="00244B3A"/>
    <w:rsid w:val="002450C5"/>
    <w:rsid w:val="002458C7"/>
    <w:rsid w:val="002458DB"/>
    <w:rsid w:val="00246819"/>
    <w:rsid w:val="00247741"/>
    <w:rsid w:val="00250384"/>
    <w:rsid w:val="002530A6"/>
    <w:rsid w:val="0025335E"/>
    <w:rsid w:val="00253AA0"/>
    <w:rsid w:val="00254720"/>
    <w:rsid w:val="00256489"/>
    <w:rsid w:val="002565E3"/>
    <w:rsid w:val="00256BE8"/>
    <w:rsid w:val="00263E48"/>
    <w:rsid w:val="00264CD7"/>
    <w:rsid w:val="00271DA1"/>
    <w:rsid w:val="0027466E"/>
    <w:rsid w:val="00277660"/>
    <w:rsid w:val="00280278"/>
    <w:rsid w:val="00281423"/>
    <w:rsid w:val="00283FDC"/>
    <w:rsid w:val="0028414F"/>
    <w:rsid w:val="00284FB3"/>
    <w:rsid w:val="00286E87"/>
    <w:rsid w:val="002900B5"/>
    <w:rsid w:val="00293F5F"/>
    <w:rsid w:val="00294F5E"/>
    <w:rsid w:val="0029523E"/>
    <w:rsid w:val="00295C85"/>
    <w:rsid w:val="00295D2D"/>
    <w:rsid w:val="00295ECD"/>
    <w:rsid w:val="00296CF8"/>
    <w:rsid w:val="002A1165"/>
    <w:rsid w:val="002A3E97"/>
    <w:rsid w:val="002A558C"/>
    <w:rsid w:val="002A6034"/>
    <w:rsid w:val="002A7131"/>
    <w:rsid w:val="002A78B0"/>
    <w:rsid w:val="002B0615"/>
    <w:rsid w:val="002B226E"/>
    <w:rsid w:val="002B501A"/>
    <w:rsid w:val="002B525E"/>
    <w:rsid w:val="002B5B80"/>
    <w:rsid w:val="002C0499"/>
    <w:rsid w:val="002C3373"/>
    <w:rsid w:val="002C36EA"/>
    <w:rsid w:val="002C3C0B"/>
    <w:rsid w:val="002C6E2E"/>
    <w:rsid w:val="002C7010"/>
    <w:rsid w:val="002D013A"/>
    <w:rsid w:val="002D0503"/>
    <w:rsid w:val="002D10ED"/>
    <w:rsid w:val="002D1D6D"/>
    <w:rsid w:val="002D3AAD"/>
    <w:rsid w:val="002E277A"/>
    <w:rsid w:val="002E3747"/>
    <w:rsid w:val="002E4043"/>
    <w:rsid w:val="002E4A43"/>
    <w:rsid w:val="002E78A8"/>
    <w:rsid w:val="002E7DAF"/>
    <w:rsid w:val="002F1355"/>
    <w:rsid w:val="002F174C"/>
    <w:rsid w:val="002F2F55"/>
    <w:rsid w:val="002F3B2F"/>
    <w:rsid w:val="002F510C"/>
    <w:rsid w:val="002F6028"/>
    <w:rsid w:val="002F619E"/>
    <w:rsid w:val="00301033"/>
    <w:rsid w:val="00305F54"/>
    <w:rsid w:val="003076CE"/>
    <w:rsid w:val="00310C79"/>
    <w:rsid w:val="00311641"/>
    <w:rsid w:val="0031299C"/>
    <w:rsid w:val="003134A1"/>
    <w:rsid w:val="003146B8"/>
    <w:rsid w:val="00314C9D"/>
    <w:rsid w:val="0031680F"/>
    <w:rsid w:val="003210CF"/>
    <w:rsid w:val="00321E47"/>
    <w:rsid w:val="003240B2"/>
    <w:rsid w:val="00324783"/>
    <w:rsid w:val="003253A6"/>
    <w:rsid w:val="00325D81"/>
    <w:rsid w:val="00327E28"/>
    <w:rsid w:val="00331AEE"/>
    <w:rsid w:val="00331D94"/>
    <w:rsid w:val="0033438B"/>
    <w:rsid w:val="00336927"/>
    <w:rsid w:val="00337D33"/>
    <w:rsid w:val="003420F5"/>
    <w:rsid w:val="00342A3E"/>
    <w:rsid w:val="00347767"/>
    <w:rsid w:val="003501F4"/>
    <w:rsid w:val="00350734"/>
    <w:rsid w:val="003535E5"/>
    <w:rsid w:val="00353845"/>
    <w:rsid w:val="00355108"/>
    <w:rsid w:val="00356202"/>
    <w:rsid w:val="003564E2"/>
    <w:rsid w:val="003604CE"/>
    <w:rsid w:val="0036287E"/>
    <w:rsid w:val="00362FCB"/>
    <w:rsid w:val="0036399A"/>
    <w:rsid w:val="003724DF"/>
    <w:rsid w:val="00373437"/>
    <w:rsid w:val="003735FC"/>
    <w:rsid w:val="003737CA"/>
    <w:rsid w:val="0037392A"/>
    <w:rsid w:val="00373B31"/>
    <w:rsid w:val="00374275"/>
    <w:rsid w:val="00374C2F"/>
    <w:rsid w:val="00376033"/>
    <w:rsid w:val="0037617F"/>
    <w:rsid w:val="00376576"/>
    <w:rsid w:val="00376701"/>
    <w:rsid w:val="003769CF"/>
    <w:rsid w:val="00380FEE"/>
    <w:rsid w:val="00381A2C"/>
    <w:rsid w:val="00381AF3"/>
    <w:rsid w:val="00382F59"/>
    <w:rsid w:val="003838CE"/>
    <w:rsid w:val="00386D12"/>
    <w:rsid w:val="00394CA3"/>
    <w:rsid w:val="003A09D4"/>
    <w:rsid w:val="003A1AA5"/>
    <w:rsid w:val="003A1E3E"/>
    <w:rsid w:val="003A3C93"/>
    <w:rsid w:val="003A3C9C"/>
    <w:rsid w:val="003A3D60"/>
    <w:rsid w:val="003A56AA"/>
    <w:rsid w:val="003A5BAD"/>
    <w:rsid w:val="003A6B3B"/>
    <w:rsid w:val="003B3150"/>
    <w:rsid w:val="003B3C23"/>
    <w:rsid w:val="003B50B0"/>
    <w:rsid w:val="003B7225"/>
    <w:rsid w:val="003B756B"/>
    <w:rsid w:val="003B76E8"/>
    <w:rsid w:val="003C31F0"/>
    <w:rsid w:val="003C506D"/>
    <w:rsid w:val="003C6A95"/>
    <w:rsid w:val="003D0236"/>
    <w:rsid w:val="003D13ED"/>
    <w:rsid w:val="003D30F1"/>
    <w:rsid w:val="003D34E8"/>
    <w:rsid w:val="003D3C29"/>
    <w:rsid w:val="003D45CD"/>
    <w:rsid w:val="003D4B01"/>
    <w:rsid w:val="003D7F3C"/>
    <w:rsid w:val="003E0A42"/>
    <w:rsid w:val="003E149F"/>
    <w:rsid w:val="003E22D1"/>
    <w:rsid w:val="003E2730"/>
    <w:rsid w:val="003E541E"/>
    <w:rsid w:val="003E5754"/>
    <w:rsid w:val="003E5FF1"/>
    <w:rsid w:val="003F1DC7"/>
    <w:rsid w:val="003F3000"/>
    <w:rsid w:val="003F3C10"/>
    <w:rsid w:val="003F4FAD"/>
    <w:rsid w:val="003F5FAF"/>
    <w:rsid w:val="004005B1"/>
    <w:rsid w:val="00401168"/>
    <w:rsid w:val="004017EF"/>
    <w:rsid w:val="00403653"/>
    <w:rsid w:val="00413595"/>
    <w:rsid w:val="004137F1"/>
    <w:rsid w:val="00413D05"/>
    <w:rsid w:val="004176FC"/>
    <w:rsid w:val="0042179F"/>
    <w:rsid w:val="004218D6"/>
    <w:rsid w:val="004257B1"/>
    <w:rsid w:val="00427039"/>
    <w:rsid w:val="00431236"/>
    <w:rsid w:val="004314D5"/>
    <w:rsid w:val="00431D62"/>
    <w:rsid w:val="00432705"/>
    <w:rsid w:val="00432CF5"/>
    <w:rsid w:val="0043330F"/>
    <w:rsid w:val="0043368B"/>
    <w:rsid w:val="00434907"/>
    <w:rsid w:val="00435490"/>
    <w:rsid w:val="0043731A"/>
    <w:rsid w:val="004379FE"/>
    <w:rsid w:val="00437D67"/>
    <w:rsid w:val="004402FB"/>
    <w:rsid w:val="004413B5"/>
    <w:rsid w:val="004439F6"/>
    <w:rsid w:val="004476B3"/>
    <w:rsid w:val="0045072E"/>
    <w:rsid w:val="004511A6"/>
    <w:rsid w:val="0045313B"/>
    <w:rsid w:val="004549BC"/>
    <w:rsid w:val="00454F09"/>
    <w:rsid w:val="004556C5"/>
    <w:rsid w:val="0045681F"/>
    <w:rsid w:val="004569FE"/>
    <w:rsid w:val="00456B01"/>
    <w:rsid w:val="004616E8"/>
    <w:rsid w:val="0046370B"/>
    <w:rsid w:val="00464D5F"/>
    <w:rsid w:val="00465979"/>
    <w:rsid w:val="00470BBE"/>
    <w:rsid w:val="00472D97"/>
    <w:rsid w:val="0047664C"/>
    <w:rsid w:val="00476B9B"/>
    <w:rsid w:val="00477DB3"/>
    <w:rsid w:val="00480919"/>
    <w:rsid w:val="004832BA"/>
    <w:rsid w:val="004833AE"/>
    <w:rsid w:val="004834F8"/>
    <w:rsid w:val="0048443C"/>
    <w:rsid w:val="00484474"/>
    <w:rsid w:val="00484DBC"/>
    <w:rsid w:val="004874DC"/>
    <w:rsid w:val="0049008E"/>
    <w:rsid w:val="0049030C"/>
    <w:rsid w:val="0049108E"/>
    <w:rsid w:val="004937BF"/>
    <w:rsid w:val="00495097"/>
    <w:rsid w:val="00495BA7"/>
    <w:rsid w:val="0049771D"/>
    <w:rsid w:val="00497B9D"/>
    <w:rsid w:val="004A31C5"/>
    <w:rsid w:val="004A3BB2"/>
    <w:rsid w:val="004B0209"/>
    <w:rsid w:val="004B0868"/>
    <w:rsid w:val="004B18EE"/>
    <w:rsid w:val="004B1CDC"/>
    <w:rsid w:val="004B28B3"/>
    <w:rsid w:val="004B6006"/>
    <w:rsid w:val="004B6D21"/>
    <w:rsid w:val="004B741D"/>
    <w:rsid w:val="004C0A63"/>
    <w:rsid w:val="004C38E2"/>
    <w:rsid w:val="004D181B"/>
    <w:rsid w:val="004E1E9A"/>
    <w:rsid w:val="004E3490"/>
    <w:rsid w:val="004E3C0C"/>
    <w:rsid w:val="004E51A0"/>
    <w:rsid w:val="004F058D"/>
    <w:rsid w:val="004F106D"/>
    <w:rsid w:val="004F151A"/>
    <w:rsid w:val="004F2613"/>
    <w:rsid w:val="004F55D4"/>
    <w:rsid w:val="004F5A10"/>
    <w:rsid w:val="004F67F8"/>
    <w:rsid w:val="004F73D6"/>
    <w:rsid w:val="005026A2"/>
    <w:rsid w:val="00503207"/>
    <w:rsid w:val="00504466"/>
    <w:rsid w:val="005054FB"/>
    <w:rsid w:val="005070C3"/>
    <w:rsid w:val="0051121A"/>
    <w:rsid w:val="00511C4C"/>
    <w:rsid w:val="00513AF4"/>
    <w:rsid w:val="0051483D"/>
    <w:rsid w:val="005172C1"/>
    <w:rsid w:val="0052268C"/>
    <w:rsid w:val="00524091"/>
    <w:rsid w:val="005252F1"/>
    <w:rsid w:val="00525672"/>
    <w:rsid w:val="00526632"/>
    <w:rsid w:val="005270B8"/>
    <w:rsid w:val="00527903"/>
    <w:rsid w:val="00530567"/>
    <w:rsid w:val="0053068F"/>
    <w:rsid w:val="0053237A"/>
    <w:rsid w:val="005327FC"/>
    <w:rsid w:val="00532A66"/>
    <w:rsid w:val="00533782"/>
    <w:rsid w:val="005418B4"/>
    <w:rsid w:val="00541A21"/>
    <w:rsid w:val="005421D7"/>
    <w:rsid w:val="0054428E"/>
    <w:rsid w:val="00550B8E"/>
    <w:rsid w:val="0055125D"/>
    <w:rsid w:val="00553571"/>
    <w:rsid w:val="00554396"/>
    <w:rsid w:val="005555C7"/>
    <w:rsid w:val="00555B9A"/>
    <w:rsid w:val="00557DF3"/>
    <w:rsid w:val="00560C86"/>
    <w:rsid w:val="00561139"/>
    <w:rsid w:val="00562A13"/>
    <w:rsid w:val="005632F0"/>
    <w:rsid w:val="005709CB"/>
    <w:rsid w:val="00570AAE"/>
    <w:rsid w:val="00570D55"/>
    <w:rsid w:val="00571B61"/>
    <w:rsid w:val="005724A4"/>
    <w:rsid w:val="0057571D"/>
    <w:rsid w:val="005765FD"/>
    <w:rsid w:val="00577678"/>
    <w:rsid w:val="00580250"/>
    <w:rsid w:val="0058072A"/>
    <w:rsid w:val="0058336D"/>
    <w:rsid w:val="00585D64"/>
    <w:rsid w:val="0058625F"/>
    <w:rsid w:val="00587A7B"/>
    <w:rsid w:val="00590372"/>
    <w:rsid w:val="0059127F"/>
    <w:rsid w:val="0059142C"/>
    <w:rsid w:val="00592CFA"/>
    <w:rsid w:val="00592F16"/>
    <w:rsid w:val="00593A93"/>
    <w:rsid w:val="00593B3A"/>
    <w:rsid w:val="00593E3F"/>
    <w:rsid w:val="0059705F"/>
    <w:rsid w:val="00597B3B"/>
    <w:rsid w:val="005A59DF"/>
    <w:rsid w:val="005A6F96"/>
    <w:rsid w:val="005B1B0C"/>
    <w:rsid w:val="005B1FD3"/>
    <w:rsid w:val="005B40C3"/>
    <w:rsid w:val="005B443C"/>
    <w:rsid w:val="005B7D0E"/>
    <w:rsid w:val="005C03F6"/>
    <w:rsid w:val="005C1DEC"/>
    <w:rsid w:val="005C3B39"/>
    <w:rsid w:val="005D0B75"/>
    <w:rsid w:val="005D34DE"/>
    <w:rsid w:val="005D445F"/>
    <w:rsid w:val="005D4A0C"/>
    <w:rsid w:val="005D6FD6"/>
    <w:rsid w:val="005D78C7"/>
    <w:rsid w:val="005D7F63"/>
    <w:rsid w:val="005E05BF"/>
    <w:rsid w:val="005E1F0B"/>
    <w:rsid w:val="005E2C8E"/>
    <w:rsid w:val="005E2D53"/>
    <w:rsid w:val="005E3010"/>
    <w:rsid w:val="005E3E1D"/>
    <w:rsid w:val="005E4BBB"/>
    <w:rsid w:val="005E5C2F"/>
    <w:rsid w:val="005F14E4"/>
    <w:rsid w:val="005F1A59"/>
    <w:rsid w:val="005F1DD9"/>
    <w:rsid w:val="005F2482"/>
    <w:rsid w:val="005F3998"/>
    <w:rsid w:val="005F4062"/>
    <w:rsid w:val="005F664F"/>
    <w:rsid w:val="005F6AEF"/>
    <w:rsid w:val="0060609C"/>
    <w:rsid w:val="0060725E"/>
    <w:rsid w:val="00610176"/>
    <w:rsid w:val="00610E19"/>
    <w:rsid w:val="00611221"/>
    <w:rsid w:val="00612849"/>
    <w:rsid w:val="00612ACA"/>
    <w:rsid w:val="006165AB"/>
    <w:rsid w:val="00616FA1"/>
    <w:rsid w:val="0061777D"/>
    <w:rsid w:val="00617FA6"/>
    <w:rsid w:val="00623865"/>
    <w:rsid w:val="00624FD4"/>
    <w:rsid w:val="00627744"/>
    <w:rsid w:val="006302D7"/>
    <w:rsid w:val="00633A75"/>
    <w:rsid w:val="0063667F"/>
    <w:rsid w:val="00640E2E"/>
    <w:rsid w:val="00641244"/>
    <w:rsid w:val="006509DE"/>
    <w:rsid w:val="0065141E"/>
    <w:rsid w:val="00652CEF"/>
    <w:rsid w:val="00652D32"/>
    <w:rsid w:val="006538A2"/>
    <w:rsid w:val="00653B97"/>
    <w:rsid w:val="00654B8D"/>
    <w:rsid w:val="00654C2A"/>
    <w:rsid w:val="00655317"/>
    <w:rsid w:val="006575E5"/>
    <w:rsid w:val="00657928"/>
    <w:rsid w:val="006610AC"/>
    <w:rsid w:val="0066256D"/>
    <w:rsid w:val="00663240"/>
    <w:rsid w:val="00665EF9"/>
    <w:rsid w:val="00671154"/>
    <w:rsid w:val="006730D5"/>
    <w:rsid w:val="00673716"/>
    <w:rsid w:val="0067477E"/>
    <w:rsid w:val="00674792"/>
    <w:rsid w:val="0067613B"/>
    <w:rsid w:val="006766A7"/>
    <w:rsid w:val="00676B50"/>
    <w:rsid w:val="00677DE6"/>
    <w:rsid w:val="0068036E"/>
    <w:rsid w:val="00681CEA"/>
    <w:rsid w:val="00681E7B"/>
    <w:rsid w:val="00682A46"/>
    <w:rsid w:val="00685E3C"/>
    <w:rsid w:val="0069092A"/>
    <w:rsid w:val="006914C5"/>
    <w:rsid w:val="00694A8F"/>
    <w:rsid w:val="00695BD4"/>
    <w:rsid w:val="0069698B"/>
    <w:rsid w:val="00697435"/>
    <w:rsid w:val="00697775"/>
    <w:rsid w:val="006A0892"/>
    <w:rsid w:val="006A08FD"/>
    <w:rsid w:val="006A14BA"/>
    <w:rsid w:val="006A4E8F"/>
    <w:rsid w:val="006A5CDD"/>
    <w:rsid w:val="006B2F74"/>
    <w:rsid w:val="006C023C"/>
    <w:rsid w:val="006C11C9"/>
    <w:rsid w:val="006C37CE"/>
    <w:rsid w:val="006C4607"/>
    <w:rsid w:val="006C4D8D"/>
    <w:rsid w:val="006C7C26"/>
    <w:rsid w:val="006D0209"/>
    <w:rsid w:val="006D0E6E"/>
    <w:rsid w:val="006D3316"/>
    <w:rsid w:val="006D57A9"/>
    <w:rsid w:val="006D7F46"/>
    <w:rsid w:val="006E312E"/>
    <w:rsid w:val="006E4115"/>
    <w:rsid w:val="006E4F1E"/>
    <w:rsid w:val="006F3FF9"/>
    <w:rsid w:val="006F6A38"/>
    <w:rsid w:val="006F721F"/>
    <w:rsid w:val="007059C0"/>
    <w:rsid w:val="00706ECC"/>
    <w:rsid w:val="00715170"/>
    <w:rsid w:val="00715692"/>
    <w:rsid w:val="00715978"/>
    <w:rsid w:val="00716E75"/>
    <w:rsid w:val="00717284"/>
    <w:rsid w:val="00723E54"/>
    <w:rsid w:val="00724602"/>
    <w:rsid w:val="00724B49"/>
    <w:rsid w:val="007266B3"/>
    <w:rsid w:val="007274D2"/>
    <w:rsid w:val="00733801"/>
    <w:rsid w:val="0073512A"/>
    <w:rsid w:val="007359D8"/>
    <w:rsid w:val="007372C7"/>
    <w:rsid w:val="00746480"/>
    <w:rsid w:val="007471B9"/>
    <w:rsid w:val="00747879"/>
    <w:rsid w:val="00751626"/>
    <w:rsid w:val="00753729"/>
    <w:rsid w:val="00753BCC"/>
    <w:rsid w:val="00755E65"/>
    <w:rsid w:val="007564D5"/>
    <w:rsid w:val="00757A98"/>
    <w:rsid w:val="00760276"/>
    <w:rsid w:val="0076428A"/>
    <w:rsid w:val="007665DB"/>
    <w:rsid w:val="0077195C"/>
    <w:rsid w:val="00772D8A"/>
    <w:rsid w:val="00773FFA"/>
    <w:rsid w:val="00776BBB"/>
    <w:rsid w:val="00780326"/>
    <w:rsid w:val="007840F4"/>
    <w:rsid w:val="0078529D"/>
    <w:rsid w:val="00786D68"/>
    <w:rsid w:val="0079011A"/>
    <w:rsid w:val="00790E08"/>
    <w:rsid w:val="007926F5"/>
    <w:rsid w:val="00797685"/>
    <w:rsid w:val="007A1507"/>
    <w:rsid w:val="007A4DEF"/>
    <w:rsid w:val="007A52A6"/>
    <w:rsid w:val="007A6FA1"/>
    <w:rsid w:val="007B26A8"/>
    <w:rsid w:val="007B434B"/>
    <w:rsid w:val="007B74A0"/>
    <w:rsid w:val="007C1CF6"/>
    <w:rsid w:val="007C4691"/>
    <w:rsid w:val="007C4B1C"/>
    <w:rsid w:val="007C79FB"/>
    <w:rsid w:val="007C7C26"/>
    <w:rsid w:val="007D2170"/>
    <w:rsid w:val="007D2A36"/>
    <w:rsid w:val="007D5B82"/>
    <w:rsid w:val="007D6351"/>
    <w:rsid w:val="007E3ABC"/>
    <w:rsid w:val="007E4193"/>
    <w:rsid w:val="007E45E3"/>
    <w:rsid w:val="007E4E25"/>
    <w:rsid w:val="007E5717"/>
    <w:rsid w:val="007E7916"/>
    <w:rsid w:val="007F22A2"/>
    <w:rsid w:val="007F599C"/>
    <w:rsid w:val="008033B2"/>
    <w:rsid w:val="0080437A"/>
    <w:rsid w:val="00806B9C"/>
    <w:rsid w:val="00807008"/>
    <w:rsid w:val="00810294"/>
    <w:rsid w:val="00810E6F"/>
    <w:rsid w:val="0081146B"/>
    <w:rsid w:val="00812E01"/>
    <w:rsid w:val="008133E8"/>
    <w:rsid w:val="008141D3"/>
    <w:rsid w:val="00815FCE"/>
    <w:rsid w:val="00817893"/>
    <w:rsid w:val="00820221"/>
    <w:rsid w:val="008262DD"/>
    <w:rsid w:val="008271D5"/>
    <w:rsid w:val="00832109"/>
    <w:rsid w:val="0083438A"/>
    <w:rsid w:val="008346D0"/>
    <w:rsid w:val="00834875"/>
    <w:rsid w:val="00835CA7"/>
    <w:rsid w:val="00835D11"/>
    <w:rsid w:val="00835FF4"/>
    <w:rsid w:val="00840B80"/>
    <w:rsid w:val="008440BE"/>
    <w:rsid w:val="008453A3"/>
    <w:rsid w:val="00851058"/>
    <w:rsid w:val="00851093"/>
    <w:rsid w:val="00851975"/>
    <w:rsid w:val="00852ED6"/>
    <w:rsid w:val="00853685"/>
    <w:rsid w:val="00853DDD"/>
    <w:rsid w:val="008563A7"/>
    <w:rsid w:val="008577AC"/>
    <w:rsid w:val="00857DB7"/>
    <w:rsid w:val="0087248B"/>
    <w:rsid w:val="00874FB2"/>
    <w:rsid w:val="00875819"/>
    <w:rsid w:val="008761FA"/>
    <w:rsid w:val="00876B29"/>
    <w:rsid w:val="00881B10"/>
    <w:rsid w:val="00885713"/>
    <w:rsid w:val="00886AE6"/>
    <w:rsid w:val="00887253"/>
    <w:rsid w:val="008915AC"/>
    <w:rsid w:val="00891A9F"/>
    <w:rsid w:val="00892A82"/>
    <w:rsid w:val="008932F1"/>
    <w:rsid w:val="00893358"/>
    <w:rsid w:val="00895378"/>
    <w:rsid w:val="00896A6B"/>
    <w:rsid w:val="00897823"/>
    <w:rsid w:val="008A10BD"/>
    <w:rsid w:val="008A175D"/>
    <w:rsid w:val="008A2959"/>
    <w:rsid w:val="008A2B23"/>
    <w:rsid w:val="008A40F3"/>
    <w:rsid w:val="008A4681"/>
    <w:rsid w:val="008B041F"/>
    <w:rsid w:val="008B29A6"/>
    <w:rsid w:val="008B3045"/>
    <w:rsid w:val="008B3572"/>
    <w:rsid w:val="008B5730"/>
    <w:rsid w:val="008C3A6E"/>
    <w:rsid w:val="008C48A6"/>
    <w:rsid w:val="008C4F88"/>
    <w:rsid w:val="008C7B6F"/>
    <w:rsid w:val="008C7C5D"/>
    <w:rsid w:val="008D215A"/>
    <w:rsid w:val="008D2C54"/>
    <w:rsid w:val="008D474D"/>
    <w:rsid w:val="008D6F5F"/>
    <w:rsid w:val="008D72C6"/>
    <w:rsid w:val="008D7D16"/>
    <w:rsid w:val="008E0BAC"/>
    <w:rsid w:val="008E2D81"/>
    <w:rsid w:val="008E3D30"/>
    <w:rsid w:val="008F0B35"/>
    <w:rsid w:val="008F0E5C"/>
    <w:rsid w:val="008F2D31"/>
    <w:rsid w:val="008F3767"/>
    <w:rsid w:val="008F54FF"/>
    <w:rsid w:val="009029AC"/>
    <w:rsid w:val="00903E7C"/>
    <w:rsid w:val="00904FBF"/>
    <w:rsid w:val="00905EEB"/>
    <w:rsid w:val="00906C03"/>
    <w:rsid w:val="009100EB"/>
    <w:rsid w:val="0091179A"/>
    <w:rsid w:val="00912200"/>
    <w:rsid w:val="0091245E"/>
    <w:rsid w:val="009154BC"/>
    <w:rsid w:val="0091560D"/>
    <w:rsid w:val="00915C53"/>
    <w:rsid w:val="009160B8"/>
    <w:rsid w:val="00917F04"/>
    <w:rsid w:val="00920571"/>
    <w:rsid w:val="00920F5D"/>
    <w:rsid w:val="00921857"/>
    <w:rsid w:val="00922908"/>
    <w:rsid w:val="009229B6"/>
    <w:rsid w:val="00924C37"/>
    <w:rsid w:val="00926A74"/>
    <w:rsid w:val="00930982"/>
    <w:rsid w:val="00930BCA"/>
    <w:rsid w:val="0093390F"/>
    <w:rsid w:val="00934AAD"/>
    <w:rsid w:val="0093548E"/>
    <w:rsid w:val="00936802"/>
    <w:rsid w:val="00936E7F"/>
    <w:rsid w:val="00943801"/>
    <w:rsid w:val="00945340"/>
    <w:rsid w:val="00946D5A"/>
    <w:rsid w:val="00947D7D"/>
    <w:rsid w:val="00950EAE"/>
    <w:rsid w:val="0095346A"/>
    <w:rsid w:val="009538BC"/>
    <w:rsid w:val="009568B2"/>
    <w:rsid w:val="00960982"/>
    <w:rsid w:val="00962AA6"/>
    <w:rsid w:val="00962C85"/>
    <w:rsid w:val="00964C3E"/>
    <w:rsid w:val="009660BC"/>
    <w:rsid w:val="0096714C"/>
    <w:rsid w:val="00967B35"/>
    <w:rsid w:val="00970E04"/>
    <w:rsid w:val="009710DB"/>
    <w:rsid w:val="00971329"/>
    <w:rsid w:val="00971EE2"/>
    <w:rsid w:val="00973651"/>
    <w:rsid w:val="00976E75"/>
    <w:rsid w:val="00980535"/>
    <w:rsid w:val="00982C90"/>
    <w:rsid w:val="0098310E"/>
    <w:rsid w:val="0098323E"/>
    <w:rsid w:val="009859B3"/>
    <w:rsid w:val="00990D77"/>
    <w:rsid w:val="009916FE"/>
    <w:rsid w:val="00994982"/>
    <w:rsid w:val="00996C56"/>
    <w:rsid w:val="0099728D"/>
    <w:rsid w:val="009A1A5C"/>
    <w:rsid w:val="009A2019"/>
    <w:rsid w:val="009A22A9"/>
    <w:rsid w:val="009A2601"/>
    <w:rsid w:val="009A52B9"/>
    <w:rsid w:val="009B09B4"/>
    <w:rsid w:val="009B4899"/>
    <w:rsid w:val="009B6897"/>
    <w:rsid w:val="009B6D87"/>
    <w:rsid w:val="009B7F14"/>
    <w:rsid w:val="009C527A"/>
    <w:rsid w:val="009C577C"/>
    <w:rsid w:val="009C6D61"/>
    <w:rsid w:val="009C7525"/>
    <w:rsid w:val="009C780E"/>
    <w:rsid w:val="009C7A1B"/>
    <w:rsid w:val="009D12DF"/>
    <w:rsid w:val="009D5A0D"/>
    <w:rsid w:val="009D5C52"/>
    <w:rsid w:val="009E4023"/>
    <w:rsid w:val="009E4D0C"/>
    <w:rsid w:val="009E6FA0"/>
    <w:rsid w:val="009E76EF"/>
    <w:rsid w:val="009F01EE"/>
    <w:rsid w:val="009F08E3"/>
    <w:rsid w:val="009F2443"/>
    <w:rsid w:val="009F7AB8"/>
    <w:rsid w:val="00A003B3"/>
    <w:rsid w:val="00A00789"/>
    <w:rsid w:val="00A02721"/>
    <w:rsid w:val="00A02AC6"/>
    <w:rsid w:val="00A02DAD"/>
    <w:rsid w:val="00A03684"/>
    <w:rsid w:val="00A12266"/>
    <w:rsid w:val="00A13467"/>
    <w:rsid w:val="00A146CF"/>
    <w:rsid w:val="00A14CB9"/>
    <w:rsid w:val="00A20EF6"/>
    <w:rsid w:val="00A21F3A"/>
    <w:rsid w:val="00A2204C"/>
    <w:rsid w:val="00A25991"/>
    <w:rsid w:val="00A26328"/>
    <w:rsid w:val="00A279D6"/>
    <w:rsid w:val="00A32CE9"/>
    <w:rsid w:val="00A37B2D"/>
    <w:rsid w:val="00A406A4"/>
    <w:rsid w:val="00A418CA"/>
    <w:rsid w:val="00A41B90"/>
    <w:rsid w:val="00A43045"/>
    <w:rsid w:val="00A4627D"/>
    <w:rsid w:val="00A472C9"/>
    <w:rsid w:val="00A47C77"/>
    <w:rsid w:val="00A53ADA"/>
    <w:rsid w:val="00A574DE"/>
    <w:rsid w:val="00A605C7"/>
    <w:rsid w:val="00A642C6"/>
    <w:rsid w:val="00A65038"/>
    <w:rsid w:val="00A67D52"/>
    <w:rsid w:val="00A71C12"/>
    <w:rsid w:val="00A72C7F"/>
    <w:rsid w:val="00A7389A"/>
    <w:rsid w:val="00A744B0"/>
    <w:rsid w:val="00A75081"/>
    <w:rsid w:val="00A81A07"/>
    <w:rsid w:val="00A81A62"/>
    <w:rsid w:val="00A81D30"/>
    <w:rsid w:val="00A8649B"/>
    <w:rsid w:val="00A87370"/>
    <w:rsid w:val="00A87AB3"/>
    <w:rsid w:val="00A90C44"/>
    <w:rsid w:val="00A9333A"/>
    <w:rsid w:val="00A9479A"/>
    <w:rsid w:val="00A9557D"/>
    <w:rsid w:val="00A95A98"/>
    <w:rsid w:val="00A95C9A"/>
    <w:rsid w:val="00AA1847"/>
    <w:rsid w:val="00AA2CEA"/>
    <w:rsid w:val="00AB39F5"/>
    <w:rsid w:val="00AB3DFE"/>
    <w:rsid w:val="00AB4387"/>
    <w:rsid w:val="00AB7FAC"/>
    <w:rsid w:val="00AC0E13"/>
    <w:rsid w:val="00AC120A"/>
    <w:rsid w:val="00AC1552"/>
    <w:rsid w:val="00AC3DCF"/>
    <w:rsid w:val="00AC79EE"/>
    <w:rsid w:val="00AC7BCF"/>
    <w:rsid w:val="00AD03DD"/>
    <w:rsid w:val="00AD05CC"/>
    <w:rsid w:val="00AD07E3"/>
    <w:rsid w:val="00AD0CB8"/>
    <w:rsid w:val="00AD2215"/>
    <w:rsid w:val="00AD5760"/>
    <w:rsid w:val="00AD5901"/>
    <w:rsid w:val="00AD593E"/>
    <w:rsid w:val="00AD65AB"/>
    <w:rsid w:val="00AE1248"/>
    <w:rsid w:val="00AF054F"/>
    <w:rsid w:val="00AF0586"/>
    <w:rsid w:val="00AF0F29"/>
    <w:rsid w:val="00AF376A"/>
    <w:rsid w:val="00AF3A2D"/>
    <w:rsid w:val="00AF7F3B"/>
    <w:rsid w:val="00B0161F"/>
    <w:rsid w:val="00B02C04"/>
    <w:rsid w:val="00B033FD"/>
    <w:rsid w:val="00B04746"/>
    <w:rsid w:val="00B05003"/>
    <w:rsid w:val="00B05A17"/>
    <w:rsid w:val="00B0619B"/>
    <w:rsid w:val="00B11E25"/>
    <w:rsid w:val="00B12D05"/>
    <w:rsid w:val="00B14327"/>
    <w:rsid w:val="00B170A9"/>
    <w:rsid w:val="00B1720D"/>
    <w:rsid w:val="00B237D8"/>
    <w:rsid w:val="00B25875"/>
    <w:rsid w:val="00B27213"/>
    <w:rsid w:val="00B310B7"/>
    <w:rsid w:val="00B349FA"/>
    <w:rsid w:val="00B35AA7"/>
    <w:rsid w:val="00B37EF1"/>
    <w:rsid w:val="00B42823"/>
    <w:rsid w:val="00B44262"/>
    <w:rsid w:val="00B4569F"/>
    <w:rsid w:val="00B45F79"/>
    <w:rsid w:val="00B527B6"/>
    <w:rsid w:val="00B57A92"/>
    <w:rsid w:val="00B67ACE"/>
    <w:rsid w:val="00B7003D"/>
    <w:rsid w:val="00B70C86"/>
    <w:rsid w:val="00B73261"/>
    <w:rsid w:val="00B74F6C"/>
    <w:rsid w:val="00B7695D"/>
    <w:rsid w:val="00B76B3A"/>
    <w:rsid w:val="00B825ED"/>
    <w:rsid w:val="00B836F9"/>
    <w:rsid w:val="00B83724"/>
    <w:rsid w:val="00B85001"/>
    <w:rsid w:val="00B850C6"/>
    <w:rsid w:val="00B90C4B"/>
    <w:rsid w:val="00B9272D"/>
    <w:rsid w:val="00B9457C"/>
    <w:rsid w:val="00B97672"/>
    <w:rsid w:val="00B97877"/>
    <w:rsid w:val="00B97D43"/>
    <w:rsid w:val="00BA1024"/>
    <w:rsid w:val="00BA134A"/>
    <w:rsid w:val="00BA3815"/>
    <w:rsid w:val="00BA44CE"/>
    <w:rsid w:val="00BA450A"/>
    <w:rsid w:val="00BA4F1B"/>
    <w:rsid w:val="00BA5E95"/>
    <w:rsid w:val="00BA7549"/>
    <w:rsid w:val="00BB0A10"/>
    <w:rsid w:val="00BB31A6"/>
    <w:rsid w:val="00BB39A4"/>
    <w:rsid w:val="00BB52FA"/>
    <w:rsid w:val="00BB7039"/>
    <w:rsid w:val="00BC6AF0"/>
    <w:rsid w:val="00BD22CC"/>
    <w:rsid w:val="00BD25CA"/>
    <w:rsid w:val="00BD4365"/>
    <w:rsid w:val="00BD4E0F"/>
    <w:rsid w:val="00BD4F59"/>
    <w:rsid w:val="00BE1000"/>
    <w:rsid w:val="00BE1864"/>
    <w:rsid w:val="00BE1D6C"/>
    <w:rsid w:val="00BE3788"/>
    <w:rsid w:val="00BE6935"/>
    <w:rsid w:val="00BE6F8F"/>
    <w:rsid w:val="00BE75CB"/>
    <w:rsid w:val="00BF1BE2"/>
    <w:rsid w:val="00BF2847"/>
    <w:rsid w:val="00BF3C21"/>
    <w:rsid w:val="00BF437C"/>
    <w:rsid w:val="00BF51C5"/>
    <w:rsid w:val="00BF5518"/>
    <w:rsid w:val="00BF64F8"/>
    <w:rsid w:val="00BF7DF2"/>
    <w:rsid w:val="00BF7F06"/>
    <w:rsid w:val="00C007AC"/>
    <w:rsid w:val="00C037A7"/>
    <w:rsid w:val="00C03E0F"/>
    <w:rsid w:val="00C0584B"/>
    <w:rsid w:val="00C15F36"/>
    <w:rsid w:val="00C17964"/>
    <w:rsid w:val="00C20991"/>
    <w:rsid w:val="00C2171B"/>
    <w:rsid w:val="00C21782"/>
    <w:rsid w:val="00C21F79"/>
    <w:rsid w:val="00C234F7"/>
    <w:rsid w:val="00C24DC7"/>
    <w:rsid w:val="00C27F98"/>
    <w:rsid w:val="00C30879"/>
    <w:rsid w:val="00C30E56"/>
    <w:rsid w:val="00C31032"/>
    <w:rsid w:val="00C32ADD"/>
    <w:rsid w:val="00C35241"/>
    <w:rsid w:val="00C35A45"/>
    <w:rsid w:val="00C364E4"/>
    <w:rsid w:val="00C4360D"/>
    <w:rsid w:val="00C45897"/>
    <w:rsid w:val="00C5514B"/>
    <w:rsid w:val="00C640D3"/>
    <w:rsid w:val="00C65669"/>
    <w:rsid w:val="00C66101"/>
    <w:rsid w:val="00C8381F"/>
    <w:rsid w:val="00C844DB"/>
    <w:rsid w:val="00C84A91"/>
    <w:rsid w:val="00C85EFB"/>
    <w:rsid w:val="00C867DE"/>
    <w:rsid w:val="00C908B9"/>
    <w:rsid w:val="00C933D9"/>
    <w:rsid w:val="00C93829"/>
    <w:rsid w:val="00C94190"/>
    <w:rsid w:val="00C9508B"/>
    <w:rsid w:val="00C97D29"/>
    <w:rsid w:val="00CA0677"/>
    <w:rsid w:val="00CA07FE"/>
    <w:rsid w:val="00CA1389"/>
    <w:rsid w:val="00CA25B3"/>
    <w:rsid w:val="00CA2979"/>
    <w:rsid w:val="00CA2FAA"/>
    <w:rsid w:val="00CA3BAA"/>
    <w:rsid w:val="00CA3C78"/>
    <w:rsid w:val="00CA50CE"/>
    <w:rsid w:val="00CA63F2"/>
    <w:rsid w:val="00CB048D"/>
    <w:rsid w:val="00CB1FC9"/>
    <w:rsid w:val="00CB23CD"/>
    <w:rsid w:val="00CB5455"/>
    <w:rsid w:val="00CC0FEF"/>
    <w:rsid w:val="00CC1915"/>
    <w:rsid w:val="00CC3C4F"/>
    <w:rsid w:val="00CD14A2"/>
    <w:rsid w:val="00CD1A45"/>
    <w:rsid w:val="00CD1CF4"/>
    <w:rsid w:val="00CD26BC"/>
    <w:rsid w:val="00CD3B04"/>
    <w:rsid w:val="00CD5AD4"/>
    <w:rsid w:val="00CE1797"/>
    <w:rsid w:val="00CE2884"/>
    <w:rsid w:val="00CE37B7"/>
    <w:rsid w:val="00CE7E9E"/>
    <w:rsid w:val="00CF08DA"/>
    <w:rsid w:val="00CF28F1"/>
    <w:rsid w:val="00CF2BF9"/>
    <w:rsid w:val="00CF531C"/>
    <w:rsid w:val="00CF55A7"/>
    <w:rsid w:val="00CF697B"/>
    <w:rsid w:val="00D0771E"/>
    <w:rsid w:val="00D10450"/>
    <w:rsid w:val="00D10D3D"/>
    <w:rsid w:val="00D1314D"/>
    <w:rsid w:val="00D1414E"/>
    <w:rsid w:val="00D2031A"/>
    <w:rsid w:val="00D3037A"/>
    <w:rsid w:val="00D30A3F"/>
    <w:rsid w:val="00D30B85"/>
    <w:rsid w:val="00D30F28"/>
    <w:rsid w:val="00D31D55"/>
    <w:rsid w:val="00D344A3"/>
    <w:rsid w:val="00D34645"/>
    <w:rsid w:val="00D37E59"/>
    <w:rsid w:val="00D41AF1"/>
    <w:rsid w:val="00D42700"/>
    <w:rsid w:val="00D43C4B"/>
    <w:rsid w:val="00D44C6E"/>
    <w:rsid w:val="00D44E14"/>
    <w:rsid w:val="00D458F7"/>
    <w:rsid w:val="00D4743B"/>
    <w:rsid w:val="00D504E2"/>
    <w:rsid w:val="00D516D5"/>
    <w:rsid w:val="00D53AEC"/>
    <w:rsid w:val="00D53BB3"/>
    <w:rsid w:val="00D551BF"/>
    <w:rsid w:val="00D5524B"/>
    <w:rsid w:val="00D55B8B"/>
    <w:rsid w:val="00D56C8D"/>
    <w:rsid w:val="00D63614"/>
    <w:rsid w:val="00D63E1D"/>
    <w:rsid w:val="00D648B4"/>
    <w:rsid w:val="00D6508D"/>
    <w:rsid w:val="00D665C8"/>
    <w:rsid w:val="00D675EE"/>
    <w:rsid w:val="00D70D27"/>
    <w:rsid w:val="00D7124D"/>
    <w:rsid w:val="00D71BE5"/>
    <w:rsid w:val="00D71E44"/>
    <w:rsid w:val="00D71EEC"/>
    <w:rsid w:val="00D72095"/>
    <w:rsid w:val="00D72FC3"/>
    <w:rsid w:val="00D77AB2"/>
    <w:rsid w:val="00D8081D"/>
    <w:rsid w:val="00D83EC9"/>
    <w:rsid w:val="00D905D8"/>
    <w:rsid w:val="00D9094B"/>
    <w:rsid w:val="00D90A62"/>
    <w:rsid w:val="00D91176"/>
    <w:rsid w:val="00D913A5"/>
    <w:rsid w:val="00D92070"/>
    <w:rsid w:val="00D930E5"/>
    <w:rsid w:val="00D9376A"/>
    <w:rsid w:val="00D93833"/>
    <w:rsid w:val="00D93A4B"/>
    <w:rsid w:val="00D93E97"/>
    <w:rsid w:val="00D94921"/>
    <w:rsid w:val="00D95700"/>
    <w:rsid w:val="00D9579D"/>
    <w:rsid w:val="00D97DD1"/>
    <w:rsid w:val="00DA0912"/>
    <w:rsid w:val="00DA1D29"/>
    <w:rsid w:val="00DA6BFC"/>
    <w:rsid w:val="00DA7821"/>
    <w:rsid w:val="00DB1D6F"/>
    <w:rsid w:val="00DB4E41"/>
    <w:rsid w:val="00DB505A"/>
    <w:rsid w:val="00DB63ED"/>
    <w:rsid w:val="00DB73A7"/>
    <w:rsid w:val="00DB7E04"/>
    <w:rsid w:val="00DC0EC9"/>
    <w:rsid w:val="00DC28D5"/>
    <w:rsid w:val="00DC38DF"/>
    <w:rsid w:val="00DD092C"/>
    <w:rsid w:val="00DD4475"/>
    <w:rsid w:val="00DD5930"/>
    <w:rsid w:val="00DD79CE"/>
    <w:rsid w:val="00DE0B25"/>
    <w:rsid w:val="00DE1DA4"/>
    <w:rsid w:val="00DE4338"/>
    <w:rsid w:val="00DE5468"/>
    <w:rsid w:val="00DE575B"/>
    <w:rsid w:val="00DE594B"/>
    <w:rsid w:val="00DE5CA1"/>
    <w:rsid w:val="00DE7794"/>
    <w:rsid w:val="00DF022D"/>
    <w:rsid w:val="00DF1196"/>
    <w:rsid w:val="00DF1EAA"/>
    <w:rsid w:val="00DF4357"/>
    <w:rsid w:val="00DF71C5"/>
    <w:rsid w:val="00E015D2"/>
    <w:rsid w:val="00E017C1"/>
    <w:rsid w:val="00E01961"/>
    <w:rsid w:val="00E01F2D"/>
    <w:rsid w:val="00E049CF"/>
    <w:rsid w:val="00E05CBB"/>
    <w:rsid w:val="00E07673"/>
    <w:rsid w:val="00E12D1B"/>
    <w:rsid w:val="00E14B29"/>
    <w:rsid w:val="00E14D05"/>
    <w:rsid w:val="00E16B13"/>
    <w:rsid w:val="00E22FD4"/>
    <w:rsid w:val="00E23C4D"/>
    <w:rsid w:val="00E244D7"/>
    <w:rsid w:val="00E256D3"/>
    <w:rsid w:val="00E25C5F"/>
    <w:rsid w:val="00E25F4F"/>
    <w:rsid w:val="00E264C0"/>
    <w:rsid w:val="00E31EFF"/>
    <w:rsid w:val="00E33DC1"/>
    <w:rsid w:val="00E34576"/>
    <w:rsid w:val="00E41989"/>
    <w:rsid w:val="00E42F84"/>
    <w:rsid w:val="00E46C27"/>
    <w:rsid w:val="00E47A2C"/>
    <w:rsid w:val="00E47B8B"/>
    <w:rsid w:val="00E51451"/>
    <w:rsid w:val="00E53C90"/>
    <w:rsid w:val="00E55430"/>
    <w:rsid w:val="00E559E3"/>
    <w:rsid w:val="00E56471"/>
    <w:rsid w:val="00E57E7E"/>
    <w:rsid w:val="00E62211"/>
    <w:rsid w:val="00E63267"/>
    <w:rsid w:val="00E661A5"/>
    <w:rsid w:val="00E66D4C"/>
    <w:rsid w:val="00E715B2"/>
    <w:rsid w:val="00E72A42"/>
    <w:rsid w:val="00E742CF"/>
    <w:rsid w:val="00E74DEC"/>
    <w:rsid w:val="00E80443"/>
    <w:rsid w:val="00E80D81"/>
    <w:rsid w:val="00E81B1B"/>
    <w:rsid w:val="00E842E4"/>
    <w:rsid w:val="00E845C6"/>
    <w:rsid w:val="00E84C25"/>
    <w:rsid w:val="00E851CF"/>
    <w:rsid w:val="00E85C60"/>
    <w:rsid w:val="00E9167F"/>
    <w:rsid w:val="00E9282E"/>
    <w:rsid w:val="00E92873"/>
    <w:rsid w:val="00E94C83"/>
    <w:rsid w:val="00E951EE"/>
    <w:rsid w:val="00E95829"/>
    <w:rsid w:val="00EA0104"/>
    <w:rsid w:val="00EA0C8C"/>
    <w:rsid w:val="00EA3C7E"/>
    <w:rsid w:val="00EA5403"/>
    <w:rsid w:val="00EA629D"/>
    <w:rsid w:val="00EA6998"/>
    <w:rsid w:val="00EB0DC5"/>
    <w:rsid w:val="00EB12AE"/>
    <w:rsid w:val="00EB45F9"/>
    <w:rsid w:val="00EB56F1"/>
    <w:rsid w:val="00EB5BDA"/>
    <w:rsid w:val="00EB6845"/>
    <w:rsid w:val="00EC1162"/>
    <w:rsid w:val="00ED03E8"/>
    <w:rsid w:val="00ED13FE"/>
    <w:rsid w:val="00ED182F"/>
    <w:rsid w:val="00ED561E"/>
    <w:rsid w:val="00ED6EB1"/>
    <w:rsid w:val="00ED7160"/>
    <w:rsid w:val="00ED762C"/>
    <w:rsid w:val="00ED7943"/>
    <w:rsid w:val="00EE6067"/>
    <w:rsid w:val="00EE7C4C"/>
    <w:rsid w:val="00EF0ECE"/>
    <w:rsid w:val="00EF19F1"/>
    <w:rsid w:val="00EF1D9E"/>
    <w:rsid w:val="00EF2F82"/>
    <w:rsid w:val="00EF3B6D"/>
    <w:rsid w:val="00EF4641"/>
    <w:rsid w:val="00EF4D49"/>
    <w:rsid w:val="00EF6950"/>
    <w:rsid w:val="00EF7414"/>
    <w:rsid w:val="00F00EF4"/>
    <w:rsid w:val="00F04780"/>
    <w:rsid w:val="00F0547B"/>
    <w:rsid w:val="00F0556E"/>
    <w:rsid w:val="00F06EB3"/>
    <w:rsid w:val="00F10F45"/>
    <w:rsid w:val="00F14288"/>
    <w:rsid w:val="00F14D30"/>
    <w:rsid w:val="00F172FB"/>
    <w:rsid w:val="00F20FB0"/>
    <w:rsid w:val="00F21231"/>
    <w:rsid w:val="00F27864"/>
    <w:rsid w:val="00F32863"/>
    <w:rsid w:val="00F34088"/>
    <w:rsid w:val="00F3435D"/>
    <w:rsid w:val="00F36A6D"/>
    <w:rsid w:val="00F36B6D"/>
    <w:rsid w:val="00F3740C"/>
    <w:rsid w:val="00F37581"/>
    <w:rsid w:val="00F377C0"/>
    <w:rsid w:val="00F4078C"/>
    <w:rsid w:val="00F462C2"/>
    <w:rsid w:val="00F47B17"/>
    <w:rsid w:val="00F47F12"/>
    <w:rsid w:val="00F50D23"/>
    <w:rsid w:val="00F52741"/>
    <w:rsid w:val="00F53C80"/>
    <w:rsid w:val="00F54271"/>
    <w:rsid w:val="00F5477F"/>
    <w:rsid w:val="00F568B5"/>
    <w:rsid w:val="00F571A5"/>
    <w:rsid w:val="00F6140F"/>
    <w:rsid w:val="00F621E2"/>
    <w:rsid w:val="00F63341"/>
    <w:rsid w:val="00F66F27"/>
    <w:rsid w:val="00F67B39"/>
    <w:rsid w:val="00F67E4D"/>
    <w:rsid w:val="00F71533"/>
    <w:rsid w:val="00F74013"/>
    <w:rsid w:val="00F75098"/>
    <w:rsid w:val="00F7521B"/>
    <w:rsid w:val="00F767BD"/>
    <w:rsid w:val="00F769BB"/>
    <w:rsid w:val="00F82024"/>
    <w:rsid w:val="00F849A0"/>
    <w:rsid w:val="00F85FFA"/>
    <w:rsid w:val="00F867FD"/>
    <w:rsid w:val="00F92896"/>
    <w:rsid w:val="00F959CC"/>
    <w:rsid w:val="00F961C2"/>
    <w:rsid w:val="00FA112C"/>
    <w:rsid w:val="00FA1420"/>
    <w:rsid w:val="00FA62FA"/>
    <w:rsid w:val="00FA735E"/>
    <w:rsid w:val="00FB26B8"/>
    <w:rsid w:val="00FB50AD"/>
    <w:rsid w:val="00FB5985"/>
    <w:rsid w:val="00FB6A88"/>
    <w:rsid w:val="00FC1E71"/>
    <w:rsid w:val="00FC2DE4"/>
    <w:rsid w:val="00FC33D4"/>
    <w:rsid w:val="00FC3819"/>
    <w:rsid w:val="00FC5CC2"/>
    <w:rsid w:val="00FC5E76"/>
    <w:rsid w:val="00FC63B8"/>
    <w:rsid w:val="00FC645A"/>
    <w:rsid w:val="00FC7282"/>
    <w:rsid w:val="00FD2E52"/>
    <w:rsid w:val="00FD3DA1"/>
    <w:rsid w:val="00FD4619"/>
    <w:rsid w:val="00FD67FA"/>
    <w:rsid w:val="00FD72EC"/>
    <w:rsid w:val="00FE0D9D"/>
    <w:rsid w:val="00FE1160"/>
    <w:rsid w:val="00FE399E"/>
    <w:rsid w:val="00FE680F"/>
    <w:rsid w:val="00FE7C77"/>
    <w:rsid w:val="00FF0739"/>
    <w:rsid w:val="00FF0A04"/>
    <w:rsid w:val="00FF3729"/>
    <w:rsid w:val="00FF4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EB81"/>
  <w15:chartTrackingRefBased/>
  <w15:docId w15:val="{BF8B8A7B-8066-4FF2-95D0-39573C4A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950"/>
    <w:pPr>
      <w:spacing w:before="120" w:after="120"/>
      <w:jc w:val="both"/>
    </w:pPr>
    <w:rPr>
      <w:rFonts w:ascii="Verdana" w:hAnsi="Verdana"/>
      <w:sz w:val="20"/>
    </w:rPr>
  </w:style>
  <w:style w:type="paragraph" w:styleId="Heading1">
    <w:name w:val="heading 1"/>
    <w:basedOn w:val="Title"/>
    <w:next w:val="Normal"/>
    <w:link w:val="Heading1Char"/>
    <w:uiPriority w:val="9"/>
    <w:qFormat/>
    <w:rsid w:val="00177429"/>
    <w:pPr>
      <w:keepNext/>
      <w:numPr>
        <w:numId w:val="40"/>
      </w:numPr>
      <w:spacing w:after="200" w:line="360" w:lineRule="auto"/>
      <w:outlineLvl w:val="0"/>
    </w:pPr>
    <w:rPr>
      <w:rFonts w:ascii="Verdana" w:eastAsia="MS Mincho" w:hAnsi="Verdana" w:cs="Arial"/>
      <w:b/>
      <w:color w:val="000000"/>
      <w:sz w:val="32"/>
      <w:szCs w:val="32"/>
      <w:lang w:eastAsia="fr-FR"/>
    </w:rPr>
  </w:style>
  <w:style w:type="paragraph" w:styleId="Heading2">
    <w:name w:val="heading 2"/>
    <w:basedOn w:val="NoSpacing"/>
    <w:next w:val="Normal"/>
    <w:link w:val="Heading2Char"/>
    <w:autoRedefine/>
    <w:uiPriority w:val="9"/>
    <w:unhideWhenUsed/>
    <w:qFormat/>
    <w:rsid w:val="00920571"/>
    <w:pPr>
      <w:keepNext/>
      <w:keepLines/>
      <w:numPr>
        <w:ilvl w:val="1"/>
        <w:numId w:val="40"/>
      </w:numPr>
      <w:spacing w:before="200" w:after="120"/>
      <w:outlineLvl w:val="1"/>
    </w:pPr>
    <w:rPr>
      <w:rFonts w:ascii="Verdana" w:eastAsiaTheme="minorEastAsia" w:hAnsi="Verdana" w:cs="Arial"/>
      <w:b/>
      <w:bCs/>
      <w:i/>
    </w:rPr>
  </w:style>
  <w:style w:type="paragraph" w:styleId="Heading3">
    <w:name w:val="heading 3"/>
    <w:basedOn w:val="Heading5"/>
    <w:next w:val="Normal"/>
    <w:link w:val="Heading3Char"/>
    <w:autoRedefine/>
    <w:uiPriority w:val="9"/>
    <w:unhideWhenUsed/>
    <w:qFormat/>
    <w:rsid w:val="00920571"/>
    <w:pPr>
      <w:keepNext/>
      <w:keepLines/>
      <w:numPr>
        <w:ilvl w:val="2"/>
      </w:numPr>
      <w:outlineLvl w:val="2"/>
    </w:pPr>
  </w:style>
  <w:style w:type="paragraph" w:styleId="Heading4">
    <w:name w:val="heading 4"/>
    <w:basedOn w:val="Heading6"/>
    <w:next w:val="Normal"/>
    <w:link w:val="Heading4Char"/>
    <w:uiPriority w:val="9"/>
    <w:unhideWhenUsed/>
    <w:qFormat/>
    <w:rsid w:val="00BE6F8F"/>
    <w:pPr>
      <w:numPr>
        <w:ilvl w:val="0"/>
        <w:numId w:val="0"/>
      </w:numPr>
      <w:outlineLvl w:val="3"/>
    </w:pPr>
  </w:style>
  <w:style w:type="paragraph" w:styleId="Heading5">
    <w:name w:val="heading 5"/>
    <w:basedOn w:val="Normal"/>
    <w:next w:val="Normal"/>
    <w:link w:val="Heading5Char"/>
    <w:uiPriority w:val="9"/>
    <w:unhideWhenUsed/>
    <w:rsid w:val="009C780E"/>
    <w:pPr>
      <w:numPr>
        <w:ilvl w:val="4"/>
        <w:numId w:val="40"/>
      </w:numPr>
      <w:spacing w:before="240" w:after="60" w:line="276" w:lineRule="auto"/>
      <w:outlineLvl w:val="4"/>
    </w:pPr>
    <w:rPr>
      <w:rFonts w:eastAsiaTheme="minorEastAsia"/>
      <w:b/>
      <w:bCs/>
      <w:i/>
      <w:iCs/>
      <w:color w:val="C45911" w:themeColor="accent2" w:themeShade="BF"/>
      <w:szCs w:val="20"/>
    </w:rPr>
  </w:style>
  <w:style w:type="paragraph" w:styleId="Heading6">
    <w:name w:val="heading 6"/>
    <w:basedOn w:val="Normal"/>
    <w:next w:val="Normal"/>
    <w:link w:val="Heading6Char"/>
    <w:uiPriority w:val="9"/>
    <w:unhideWhenUsed/>
    <w:rsid w:val="00FC2DE4"/>
    <w:pPr>
      <w:numPr>
        <w:ilvl w:val="5"/>
        <w:numId w:val="40"/>
      </w:numPr>
      <w:spacing w:before="240" w:after="60" w:line="276" w:lineRule="auto"/>
      <w:outlineLvl w:val="5"/>
    </w:pPr>
    <w:rPr>
      <w:rFonts w:eastAsiaTheme="minorEastAsia" w:cs="Arial"/>
      <w:b/>
      <w:bCs/>
      <w:color w:val="000000" w:themeColor="text1"/>
      <w:szCs w:val="20"/>
      <w:u w:val="single" w:color="ED7D31" w:themeColor="accent2"/>
    </w:rPr>
  </w:style>
  <w:style w:type="paragraph" w:styleId="Heading7">
    <w:name w:val="heading 7"/>
    <w:basedOn w:val="Normal"/>
    <w:next w:val="Normal"/>
    <w:link w:val="Heading7Char"/>
    <w:uiPriority w:val="9"/>
    <w:semiHidden/>
    <w:unhideWhenUsed/>
    <w:qFormat/>
    <w:rsid w:val="001F046E"/>
    <w:pPr>
      <w:numPr>
        <w:ilvl w:val="6"/>
        <w:numId w:val="40"/>
      </w:numPr>
      <w:spacing w:before="240" w:after="60" w:line="276"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F046E"/>
    <w:pPr>
      <w:numPr>
        <w:ilvl w:val="7"/>
        <w:numId w:val="40"/>
      </w:numPr>
      <w:spacing w:before="240" w:after="60" w:line="276"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F046E"/>
    <w:pPr>
      <w:numPr>
        <w:ilvl w:val="8"/>
        <w:numId w:val="40"/>
      </w:numPr>
      <w:spacing w:before="240" w:after="60" w:line="276"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429"/>
    <w:rPr>
      <w:rFonts w:ascii="Verdana" w:eastAsia="MS Mincho" w:hAnsi="Verdana" w:cs="Arial"/>
      <w:b/>
      <w:color w:val="000000"/>
      <w:spacing w:val="-10"/>
      <w:kern w:val="28"/>
      <w:sz w:val="32"/>
      <w:szCs w:val="32"/>
      <w:lang w:eastAsia="fr-FR"/>
    </w:rPr>
  </w:style>
  <w:style w:type="paragraph" w:styleId="TOCHeading">
    <w:name w:val="TOC Heading"/>
    <w:basedOn w:val="Heading1"/>
    <w:next w:val="Normal"/>
    <w:uiPriority w:val="39"/>
    <w:unhideWhenUsed/>
    <w:qFormat/>
    <w:rsid w:val="001F046E"/>
    <w:pPr>
      <w:keepLines/>
      <w:numPr>
        <w:numId w:val="30"/>
      </w:numPr>
      <w:spacing w:before="240" w:after="0" w:line="259" w:lineRule="auto"/>
      <w:contextualSpacing w:val="0"/>
      <w:outlineLvl w:val="9"/>
    </w:pPr>
    <w:rPr>
      <w:rFonts w:asciiTheme="majorHAnsi" w:eastAsiaTheme="majorEastAsia" w:hAnsiTheme="majorHAnsi" w:cstheme="majorBidi"/>
      <w:b w:val="0"/>
      <w:color w:val="2E74B5" w:themeColor="accent1" w:themeShade="BF"/>
      <w:lang w:val="en-US" w:eastAsia="en-US"/>
    </w:rPr>
  </w:style>
  <w:style w:type="paragraph" w:styleId="ListParagraph">
    <w:name w:val="List Paragraph"/>
    <w:basedOn w:val="Normal"/>
    <w:link w:val="ListParagraphChar"/>
    <w:uiPriority w:val="34"/>
    <w:qFormat/>
    <w:rsid w:val="001F046E"/>
    <w:pPr>
      <w:ind w:left="720"/>
      <w:contextualSpacing/>
    </w:pPr>
  </w:style>
  <w:style w:type="character" w:customStyle="1" w:styleId="Heading2Char">
    <w:name w:val="Heading 2 Char"/>
    <w:basedOn w:val="DefaultParagraphFont"/>
    <w:link w:val="Heading2"/>
    <w:uiPriority w:val="9"/>
    <w:rsid w:val="00920571"/>
    <w:rPr>
      <w:rFonts w:ascii="Verdana" w:eastAsiaTheme="minorEastAsia" w:hAnsi="Verdana" w:cs="Arial"/>
      <w:b/>
      <w:bCs/>
      <w:i/>
    </w:rPr>
  </w:style>
  <w:style w:type="character" w:customStyle="1" w:styleId="Heading3Char">
    <w:name w:val="Heading 3 Char"/>
    <w:basedOn w:val="DefaultParagraphFont"/>
    <w:link w:val="Heading3"/>
    <w:uiPriority w:val="9"/>
    <w:rsid w:val="00920571"/>
    <w:rPr>
      <w:rFonts w:ascii="Verdana" w:eastAsiaTheme="minorEastAsia" w:hAnsi="Verdana"/>
      <w:b/>
      <w:bCs/>
      <w:i/>
      <w:iCs/>
      <w:color w:val="C45911" w:themeColor="accent2" w:themeShade="BF"/>
      <w:sz w:val="20"/>
      <w:szCs w:val="20"/>
    </w:rPr>
  </w:style>
  <w:style w:type="character" w:customStyle="1" w:styleId="Heading4Char">
    <w:name w:val="Heading 4 Char"/>
    <w:basedOn w:val="DefaultParagraphFont"/>
    <w:link w:val="Heading4"/>
    <w:uiPriority w:val="9"/>
    <w:rsid w:val="00FC2DE4"/>
    <w:rPr>
      <w:rFonts w:ascii="Verdana" w:eastAsiaTheme="minorEastAsia" w:hAnsi="Verdana" w:cs="Arial"/>
      <w:b/>
      <w:bCs/>
      <w:color w:val="000000" w:themeColor="text1"/>
      <w:sz w:val="20"/>
      <w:szCs w:val="20"/>
      <w:u w:val="single" w:color="ED7D31" w:themeColor="accent2"/>
    </w:rPr>
  </w:style>
  <w:style w:type="character" w:customStyle="1" w:styleId="Heading5Char">
    <w:name w:val="Heading 5 Char"/>
    <w:basedOn w:val="DefaultParagraphFont"/>
    <w:link w:val="Heading5"/>
    <w:uiPriority w:val="9"/>
    <w:rsid w:val="009C780E"/>
    <w:rPr>
      <w:rFonts w:ascii="Verdana" w:eastAsiaTheme="minorEastAsia" w:hAnsi="Verdana"/>
      <w:b/>
      <w:bCs/>
      <w:i/>
      <w:iCs/>
      <w:color w:val="C45911" w:themeColor="accent2" w:themeShade="BF"/>
      <w:sz w:val="20"/>
      <w:szCs w:val="20"/>
    </w:rPr>
  </w:style>
  <w:style w:type="character" w:customStyle="1" w:styleId="Heading6Char">
    <w:name w:val="Heading 6 Char"/>
    <w:basedOn w:val="DefaultParagraphFont"/>
    <w:link w:val="Heading6"/>
    <w:uiPriority w:val="9"/>
    <w:rsid w:val="00FC2DE4"/>
    <w:rPr>
      <w:rFonts w:ascii="Verdana" w:eastAsiaTheme="minorEastAsia" w:hAnsi="Verdana" w:cs="Arial"/>
      <w:b/>
      <w:bCs/>
      <w:color w:val="000000" w:themeColor="text1"/>
      <w:sz w:val="20"/>
      <w:szCs w:val="20"/>
      <w:u w:val="single" w:color="ED7D31" w:themeColor="accent2"/>
    </w:rPr>
  </w:style>
  <w:style w:type="character" w:customStyle="1" w:styleId="Heading7Char">
    <w:name w:val="Heading 7 Char"/>
    <w:basedOn w:val="DefaultParagraphFont"/>
    <w:link w:val="Heading7"/>
    <w:uiPriority w:val="9"/>
    <w:semiHidden/>
    <w:rsid w:val="001F046E"/>
    <w:rPr>
      <w:rFonts w:ascii="Verdana" w:eastAsiaTheme="minorEastAsia" w:hAnsi="Verdana"/>
      <w:sz w:val="24"/>
      <w:szCs w:val="24"/>
    </w:rPr>
  </w:style>
  <w:style w:type="character" w:customStyle="1" w:styleId="Heading8Char">
    <w:name w:val="Heading 8 Char"/>
    <w:basedOn w:val="DefaultParagraphFont"/>
    <w:link w:val="Heading8"/>
    <w:uiPriority w:val="9"/>
    <w:semiHidden/>
    <w:rsid w:val="001F046E"/>
    <w:rPr>
      <w:rFonts w:ascii="Verdana" w:eastAsiaTheme="minorEastAsia" w:hAnsi="Verdana"/>
      <w:i/>
      <w:iCs/>
      <w:sz w:val="24"/>
      <w:szCs w:val="24"/>
    </w:rPr>
  </w:style>
  <w:style w:type="character" w:customStyle="1" w:styleId="Heading9Char">
    <w:name w:val="Heading 9 Char"/>
    <w:basedOn w:val="DefaultParagraphFont"/>
    <w:link w:val="Heading9"/>
    <w:uiPriority w:val="9"/>
    <w:semiHidden/>
    <w:rsid w:val="001F046E"/>
    <w:rPr>
      <w:rFonts w:asciiTheme="majorHAnsi" w:eastAsiaTheme="majorEastAsia" w:hAnsiTheme="majorHAnsi" w:cstheme="majorBidi"/>
      <w:sz w:val="20"/>
    </w:rPr>
  </w:style>
  <w:style w:type="paragraph" w:styleId="Caption">
    <w:name w:val="caption"/>
    <w:basedOn w:val="Subtitle"/>
    <w:next w:val="Normal"/>
    <w:uiPriority w:val="35"/>
    <w:unhideWhenUsed/>
    <w:qFormat/>
    <w:rsid w:val="0049030C"/>
  </w:style>
  <w:style w:type="paragraph" w:styleId="Title">
    <w:name w:val="Title"/>
    <w:basedOn w:val="Normal"/>
    <w:next w:val="Normal"/>
    <w:link w:val="TitleChar"/>
    <w:uiPriority w:val="10"/>
    <w:qFormat/>
    <w:rsid w:val="001F04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04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30C"/>
    <w:pPr>
      <w:spacing w:before="0" w:after="160" w:line="240" w:lineRule="auto"/>
      <w:jc w:val="left"/>
    </w:pPr>
    <w:rPr>
      <w:rFonts w:eastAsia="AGaramondPro-Regular" w:cs="Arial"/>
      <w:i/>
      <w:color w:val="ED7D31" w:themeColor="accent2"/>
      <w:sz w:val="18"/>
      <w:szCs w:val="18"/>
    </w:rPr>
  </w:style>
  <w:style w:type="character" w:customStyle="1" w:styleId="SubtitleChar">
    <w:name w:val="Subtitle Char"/>
    <w:basedOn w:val="DefaultParagraphFont"/>
    <w:link w:val="Subtitle"/>
    <w:uiPriority w:val="11"/>
    <w:rsid w:val="0049030C"/>
    <w:rPr>
      <w:rFonts w:ascii="Verdana" w:eastAsia="AGaramondPro-Regular" w:hAnsi="Verdana" w:cs="Arial"/>
      <w:i/>
      <w:color w:val="ED7D31" w:themeColor="accent2"/>
      <w:sz w:val="18"/>
      <w:szCs w:val="18"/>
    </w:rPr>
  </w:style>
  <w:style w:type="character" w:styleId="Strong">
    <w:name w:val="Strong"/>
    <w:basedOn w:val="DefaultParagraphFont"/>
    <w:uiPriority w:val="22"/>
    <w:qFormat/>
    <w:rsid w:val="001F046E"/>
    <w:rPr>
      <w:b/>
      <w:bCs/>
    </w:rPr>
  </w:style>
  <w:style w:type="character" w:styleId="Emphasis">
    <w:name w:val="Emphasis"/>
    <w:uiPriority w:val="20"/>
    <w:qFormat/>
    <w:rsid w:val="001F046E"/>
    <w:rPr>
      <w:rFonts w:ascii="Verdana" w:eastAsia="Times New Roman" w:hAnsi="Verdana" w:cs="Arial"/>
      <w:i/>
      <w:color w:val="ED7D31" w:themeColor="accent2"/>
      <w:sz w:val="18"/>
      <w:szCs w:val="18"/>
      <w:lang w:eastAsia="en-GB"/>
    </w:rPr>
  </w:style>
  <w:style w:type="paragraph" w:styleId="NoSpacing">
    <w:name w:val="No Spacing"/>
    <w:uiPriority w:val="1"/>
    <w:qFormat/>
    <w:rsid w:val="001F046E"/>
    <w:pPr>
      <w:spacing w:after="0" w:line="240" w:lineRule="auto"/>
    </w:pPr>
  </w:style>
  <w:style w:type="paragraph" w:styleId="Quote">
    <w:name w:val="Quote"/>
    <w:basedOn w:val="Normal"/>
    <w:next w:val="Normal"/>
    <w:link w:val="QuoteChar"/>
    <w:uiPriority w:val="29"/>
    <w:qFormat/>
    <w:rsid w:val="002F135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F1355"/>
    <w:rPr>
      <w:i/>
      <w:iCs/>
      <w:color w:val="404040" w:themeColor="text1" w:themeTint="BF"/>
    </w:rPr>
  </w:style>
  <w:style w:type="paragraph" w:styleId="IntenseQuote">
    <w:name w:val="Intense Quote"/>
    <w:basedOn w:val="Normal"/>
    <w:next w:val="Normal"/>
    <w:link w:val="IntenseQuoteChar"/>
    <w:uiPriority w:val="30"/>
    <w:qFormat/>
    <w:rsid w:val="002F135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F1355"/>
    <w:rPr>
      <w:i/>
      <w:iCs/>
      <w:color w:val="5B9BD5" w:themeColor="accent1"/>
    </w:rPr>
  </w:style>
  <w:style w:type="character" w:styleId="SubtleEmphasis">
    <w:name w:val="Subtle Emphasis"/>
    <w:basedOn w:val="DefaultParagraphFont"/>
    <w:uiPriority w:val="19"/>
    <w:qFormat/>
    <w:rsid w:val="001F046E"/>
    <w:rPr>
      <w:i/>
      <w:iCs/>
      <w:color w:val="404040" w:themeColor="text1" w:themeTint="BF"/>
    </w:rPr>
  </w:style>
  <w:style w:type="character" w:styleId="IntenseEmphasis">
    <w:name w:val="Intense Emphasis"/>
    <w:basedOn w:val="DefaultParagraphFont"/>
    <w:uiPriority w:val="21"/>
    <w:qFormat/>
    <w:rsid w:val="001F046E"/>
    <w:rPr>
      <w:i/>
      <w:iCs/>
      <w:color w:val="5B9BD5" w:themeColor="accent1"/>
    </w:rPr>
  </w:style>
  <w:style w:type="character" w:styleId="SubtleReference">
    <w:name w:val="Subtle Reference"/>
    <w:uiPriority w:val="31"/>
    <w:qFormat/>
    <w:rsid w:val="002F1355"/>
    <w:rPr>
      <w:smallCaps/>
      <w:color w:val="5A5A5A" w:themeColor="text1" w:themeTint="A5"/>
    </w:rPr>
  </w:style>
  <w:style w:type="character" w:styleId="IntenseReference">
    <w:name w:val="Intense Reference"/>
    <w:uiPriority w:val="32"/>
    <w:qFormat/>
    <w:rsid w:val="002F1355"/>
    <w:rPr>
      <w:b/>
      <w:bCs/>
      <w:smallCaps/>
      <w:color w:val="5B9BD5" w:themeColor="accent1"/>
      <w:spacing w:val="5"/>
    </w:rPr>
  </w:style>
  <w:style w:type="character" w:styleId="BookTitle">
    <w:name w:val="Book Title"/>
    <w:uiPriority w:val="33"/>
    <w:qFormat/>
    <w:rsid w:val="002F1355"/>
    <w:rPr>
      <w:b/>
      <w:bCs/>
      <w:i/>
      <w:iCs/>
      <w:spacing w:val="5"/>
    </w:rPr>
  </w:style>
  <w:style w:type="character" w:styleId="CommentReference">
    <w:name w:val="annotation reference"/>
    <w:basedOn w:val="DefaultParagraphFont"/>
    <w:uiPriority w:val="99"/>
    <w:semiHidden/>
    <w:unhideWhenUsed/>
    <w:rsid w:val="00497B9D"/>
    <w:rPr>
      <w:sz w:val="16"/>
      <w:szCs w:val="16"/>
    </w:rPr>
  </w:style>
  <w:style w:type="paragraph" w:styleId="CommentText">
    <w:name w:val="annotation text"/>
    <w:basedOn w:val="Normal"/>
    <w:link w:val="CommentTextChar"/>
    <w:uiPriority w:val="99"/>
    <w:semiHidden/>
    <w:unhideWhenUsed/>
    <w:rsid w:val="00497B9D"/>
    <w:pPr>
      <w:spacing w:line="240" w:lineRule="auto"/>
    </w:pPr>
  </w:style>
  <w:style w:type="character" w:customStyle="1" w:styleId="CommentTextChar">
    <w:name w:val="Comment Text Char"/>
    <w:basedOn w:val="DefaultParagraphFont"/>
    <w:link w:val="CommentText"/>
    <w:uiPriority w:val="99"/>
    <w:semiHidden/>
    <w:rsid w:val="00497B9D"/>
    <w:rPr>
      <w:rFonts w:eastAsiaTheme="minorHAnsi"/>
    </w:rPr>
  </w:style>
  <w:style w:type="paragraph" w:styleId="BalloonText">
    <w:name w:val="Balloon Text"/>
    <w:basedOn w:val="Normal"/>
    <w:link w:val="BalloonTextChar"/>
    <w:uiPriority w:val="99"/>
    <w:semiHidden/>
    <w:unhideWhenUsed/>
    <w:rsid w:val="00497B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B9D"/>
    <w:rPr>
      <w:rFonts w:ascii="Segoe UI" w:hAnsi="Segoe UI" w:cs="Segoe UI"/>
      <w:sz w:val="18"/>
      <w:szCs w:val="18"/>
    </w:rPr>
  </w:style>
  <w:style w:type="paragraph" w:styleId="FootnoteText">
    <w:name w:val="footnote text"/>
    <w:aliases w:val="Footnote Text Char1,Footnote Text Char Char"/>
    <w:basedOn w:val="Normal"/>
    <w:link w:val="FootnoteTextChar"/>
    <w:uiPriority w:val="99"/>
    <w:unhideWhenUsed/>
    <w:qFormat/>
    <w:rsid w:val="005D0B75"/>
    <w:pPr>
      <w:spacing w:after="0" w:line="240" w:lineRule="auto"/>
    </w:pPr>
  </w:style>
  <w:style w:type="character" w:customStyle="1" w:styleId="FootnoteTextChar">
    <w:name w:val="Footnote Text Char"/>
    <w:aliases w:val="Footnote Text Char1 Char,Footnote Text Char Char Char"/>
    <w:basedOn w:val="DefaultParagraphFont"/>
    <w:link w:val="FootnoteText"/>
    <w:uiPriority w:val="99"/>
    <w:rsid w:val="005D0B75"/>
    <w:rPr>
      <w:rFonts w:eastAsiaTheme="minorHAnsi"/>
    </w:rPr>
  </w:style>
  <w:style w:type="character" w:styleId="FootnoteReference">
    <w:name w:val="footnote reference"/>
    <w:basedOn w:val="DefaultParagraphFont"/>
    <w:uiPriority w:val="99"/>
    <w:unhideWhenUsed/>
    <w:rsid w:val="005D0B75"/>
    <w:rPr>
      <w:vertAlign w:val="superscript"/>
    </w:rPr>
  </w:style>
  <w:style w:type="paragraph" w:styleId="Header">
    <w:name w:val="header"/>
    <w:basedOn w:val="Normal"/>
    <w:link w:val="HeaderChar"/>
    <w:uiPriority w:val="99"/>
    <w:unhideWhenUsed/>
    <w:rsid w:val="008B0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41F"/>
  </w:style>
  <w:style w:type="paragraph" w:styleId="Footer">
    <w:name w:val="footer"/>
    <w:basedOn w:val="Normal"/>
    <w:link w:val="FooterChar"/>
    <w:uiPriority w:val="99"/>
    <w:unhideWhenUsed/>
    <w:rsid w:val="008B0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41F"/>
  </w:style>
  <w:style w:type="paragraph" w:styleId="CommentSubject">
    <w:name w:val="annotation subject"/>
    <w:basedOn w:val="CommentText"/>
    <w:next w:val="CommentText"/>
    <w:link w:val="CommentSubjectChar"/>
    <w:uiPriority w:val="99"/>
    <w:semiHidden/>
    <w:unhideWhenUsed/>
    <w:rsid w:val="005E3E1D"/>
    <w:pPr>
      <w:spacing w:before="100" w:after="200"/>
    </w:pPr>
    <w:rPr>
      <w:rFonts w:eastAsiaTheme="minorEastAsia"/>
      <w:b/>
      <w:bCs/>
    </w:rPr>
  </w:style>
  <w:style w:type="character" w:customStyle="1" w:styleId="CommentSubjectChar">
    <w:name w:val="Comment Subject Char"/>
    <w:basedOn w:val="CommentTextChar"/>
    <w:link w:val="CommentSubject"/>
    <w:uiPriority w:val="99"/>
    <w:semiHidden/>
    <w:rsid w:val="005E3E1D"/>
    <w:rPr>
      <w:rFonts w:eastAsiaTheme="minorHAnsi"/>
      <w:b/>
      <w:bCs/>
    </w:rPr>
  </w:style>
  <w:style w:type="paragraph" w:customStyle="1" w:styleId="Default">
    <w:name w:val="Default"/>
    <w:rsid w:val="00C1796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A12266"/>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Verdana" w:hAnsi="Verdana"/>
        <w:b/>
      </w:rPr>
      <w:tblPr/>
      <w:tcPr>
        <w:shd w:val="clear" w:color="auto" w:fill="D9D9D9" w:themeFill="background1" w:themeFillShade="D9"/>
      </w:tcPr>
    </w:tblStylePr>
  </w:style>
  <w:style w:type="character" w:styleId="Hyperlink">
    <w:name w:val="Hyperlink"/>
    <w:basedOn w:val="DefaultParagraphFont"/>
    <w:uiPriority w:val="99"/>
    <w:unhideWhenUsed/>
    <w:rsid w:val="00716E75"/>
    <w:rPr>
      <w:color w:val="0563C1" w:themeColor="hyperlink"/>
      <w:u w:val="single"/>
    </w:rPr>
  </w:style>
  <w:style w:type="paragraph" w:styleId="TOC1">
    <w:name w:val="toc 1"/>
    <w:basedOn w:val="Normal"/>
    <w:next w:val="Normal"/>
    <w:autoRedefine/>
    <w:uiPriority w:val="39"/>
    <w:unhideWhenUsed/>
    <w:rsid w:val="00495BA7"/>
    <w:pPr>
      <w:tabs>
        <w:tab w:val="left" w:pos="401"/>
        <w:tab w:val="right" w:leader="dot" w:pos="9016"/>
      </w:tabs>
      <w:spacing w:before="360" w:after="360"/>
    </w:pPr>
    <w:rPr>
      <w:b/>
      <w:bCs/>
      <w:caps/>
      <w:u w:val="single"/>
    </w:rPr>
  </w:style>
  <w:style w:type="paragraph" w:styleId="TOC2">
    <w:name w:val="toc 2"/>
    <w:basedOn w:val="Normal"/>
    <w:next w:val="Normal"/>
    <w:autoRedefine/>
    <w:uiPriority w:val="39"/>
    <w:unhideWhenUsed/>
    <w:rsid w:val="00495BA7"/>
    <w:pPr>
      <w:tabs>
        <w:tab w:val="left" w:pos="420"/>
        <w:tab w:val="right" w:leader="dot" w:pos="9016"/>
      </w:tabs>
      <w:spacing w:before="0" w:after="0"/>
    </w:pPr>
    <w:rPr>
      <w:rFonts w:asciiTheme="minorHAnsi" w:hAnsiTheme="minorHAnsi"/>
      <w:bCs/>
    </w:rPr>
  </w:style>
  <w:style w:type="paragraph" w:styleId="TOC3">
    <w:name w:val="toc 3"/>
    <w:basedOn w:val="Normal"/>
    <w:next w:val="Normal"/>
    <w:autoRedefine/>
    <w:uiPriority w:val="39"/>
    <w:unhideWhenUsed/>
    <w:rsid w:val="00E47B8B"/>
    <w:pPr>
      <w:spacing w:after="0"/>
    </w:pPr>
    <w:rPr>
      <w:smallCaps/>
    </w:rPr>
  </w:style>
  <w:style w:type="paragraph" w:styleId="Revision">
    <w:name w:val="Revision"/>
    <w:hidden/>
    <w:uiPriority w:val="99"/>
    <w:semiHidden/>
    <w:rsid w:val="00BF7DF2"/>
    <w:pPr>
      <w:spacing w:after="0" w:line="240" w:lineRule="auto"/>
    </w:pPr>
  </w:style>
  <w:style w:type="table" w:styleId="GridTable4-Accent1">
    <w:name w:val="Grid Table 4 Accent 1"/>
    <w:basedOn w:val="TableNormal"/>
    <w:uiPriority w:val="49"/>
    <w:rsid w:val="00026095"/>
    <w:pPr>
      <w:spacing w:after="0" w:line="240" w:lineRule="auto"/>
    </w:pPr>
    <w:tblPr>
      <w:tblStyleRowBandSize w:val="1"/>
      <w:tblStyleCol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single" w:sz="4" w:space="0" w:color="E7E6E6" w:themeColor="background2"/>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ableofFigures">
    <w:name w:val="table of figures"/>
    <w:basedOn w:val="Normal"/>
    <w:next w:val="Normal"/>
    <w:uiPriority w:val="99"/>
    <w:unhideWhenUsed/>
    <w:rsid w:val="00EB12AE"/>
    <w:pPr>
      <w:spacing w:after="0"/>
    </w:pPr>
  </w:style>
  <w:style w:type="paragraph" w:customStyle="1" w:styleId="Bulleti">
    <w:name w:val="Bullet i"/>
    <w:aliases w:val="ii,iii"/>
    <w:basedOn w:val="Normal"/>
    <w:qFormat/>
    <w:rsid w:val="001F046E"/>
    <w:pPr>
      <w:numPr>
        <w:numId w:val="29"/>
      </w:numPr>
      <w:contextualSpacing/>
    </w:pPr>
  </w:style>
  <w:style w:type="paragraph" w:customStyle="1" w:styleId="Footnote">
    <w:name w:val="Footnote"/>
    <w:basedOn w:val="NoSpacing"/>
    <w:link w:val="FootnoteChar"/>
    <w:qFormat/>
    <w:rsid w:val="001F046E"/>
    <w:pPr>
      <w:jc w:val="both"/>
    </w:pPr>
    <w:rPr>
      <w:rFonts w:eastAsia="Times New Roman" w:cs="Arial"/>
      <w:sz w:val="18"/>
      <w:szCs w:val="18"/>
      <w:lang w:eastAsia="en-GB"/>
    </w:rPr>
  </w:style>
  <w:style w:type="character" w:customStyle="1" w:styleId="FootnoteChar">
    <w:name w:val="Footnote Char"/>
    <w:basedOn w:val="DefaultParagraphFont"/>
    <w:link w:val="Footnote"/>
    <w:rsid w:val="001F046E"/>
    <w:rPr>
      <w:rFonts w:eastAsia="Times New Roman" w:cs="Arial"/>
      <w:sz w:val="18"/>
      <w:szCs w:val="18"/>
      <w:lang w:eastAsia="en-GB"/>
    </w:rPr>
  </w:style>
  <w:style w:type="character" w:customStyle="1" w:styleId="ListParagraphChar">
    <w:name w:val="List Paragraph Char"/>
    <w:basedOn w:val="DefaultParagraphFont"/>
    <w:link w:val="ListParagraph"/>
    <w:uiPriority w:val="34"/>
    <w:rsid w:val="001F046E"/>
  </w:style>
  <w:style w:type="paragraph" w:styleId="TOC4">
    <w:name w:val="toc 4"/>
    <w:basedOn w:val="Normal"/>
    <w:next w:val="Normal"/>
    <w:autoRedefine/>
    <w:uiPriority w:val="39"/>
    <w:unhideWhenUsed/>
    <w:rsid w:val="00706ECC"/>
    <w:pPr>
      <w:spacing w:after="0"/>
    </w:pPr>
  </w:style>
  <w:style w:type="paragraph" w:styleId="TOC5">
    <w:name w:val="toc 5"/>
    <w:basedOn w:val="Normal"/>
    <w:next w:val="Normal"/>
    <w:autoRedefine/>
    <w:uiPriority w:val="39"/>
    <w:unhideWhenUsed/>
    <w:rsid w:val="00706ECC"/>
    <w:pPr>
      <w:spacing w:after="0"/>
    </w:pPr>
  </w:style>
  <w:style w:type="paragraph" w:styleId="TOC6">
    <w:name w:val="toc 6"/>
    <w:basedOn w:val="Normal"/>
    <w:next w:val="Normal"/>
    <w:autoRedefine/>
    <w:uiPriority w:val="39"/>
    <w:unhideWhenUsed/>
    <w:rsid w:val="00706ECC"/>
    <w:pPr>
      <w:spacing w:after="0"/>
    </w:pPr>
  </w:style>
  <w:style w:type="paragraph" w:styleId="TOC7">
    <w:name w:val="toc 7"/>
    <w:basedOn w:val="Normal"/>
    <w:next w:val="Normal"/>
    <w:autoRedefine/>
    <w:uiPriority w:val="39"/>
    <w:unhideWhenUsed/>
    <w:rsid w:val="00706ECC"/>
    <w:pPr>
      <w:spacing w:after="0"/>
    </w:pPr>
  </w:style>
  <w:style w:type="paragraph" w:styleId="TOC8">
    <w:name w:val="toc 8"/>
    <w:basedOn w:val="Normal"/>
    <w:next w:val="Normal"/>
    <w:autoRedefine/>
    <w:uiPriority w:val="39"/>
    <w:unhideWhenUsed/>
    <w:rsid w:val="00706ECC"/>
    <w:pPr>
      <w:spacing w:after="0"/>
    </w:pPr>
  </w:style>
  <w:style w:type="paragraph" w:styleId="TOC9">
    <w:name w:val="toc 9"/>
    <w:basedOn w:val="Normal"/>
    <w:next w:val="Normal"/>
    <w:autoRedefine/>
    <w:uiPriority w:val="39"/>
    <w:unhideWhenUsed/>
    <w:rsid w:val="00706ECC"/>
    <w:pPr>
      <w:spacing w:after="0"/>
    </w:pPr>
  </w:style>
  <w:style w:type="character" w:styleId="FollowedHyperlink">
    <w:name w:val="FollowedHyperlink"/>
    <w:basedOn w:val="DefaultParagraphFont"/>
    <w:uiPriority w:val="99"/>
    <w:semiHidden/>
    <w:unhideWhenUsed/>
    <w:rsid w:val="004834F8"/>
    <w:rPr>
      <w:color w:val="954F72" w:themeColor="followedHyperlink"/>
      <w:u w:val="single"/>
    </w:rPr>
  </w:style>
  <w:style w:type="table" w:styleId="TableGridLight">
    <w:name w:val="Grid Table Light"/>
    <w:basedOn w:val="TableNormal"/>
    <w:uiPriority w:val="40"/>
    <w:rsid w:val="00E01F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4E1E9A"/>
    <w:rPr>
      <w:color w:val="808080"/>
    </w:rPr>
  </w:style>
  <w:style w:type="character" w:customStyle="1" w:styleId="apple-converted-space">
    <w:name w:val="apple-converted-space"/>
    <w:basedOn w:val="DefaultParagraphFont"/>
    <w:rsid w:val="00EF4D49"/>
  </w:style>
  <w:style w:type="table" w:styleId="PlainTable2">
    <w:name w:val="Plain Table 2"/>
    <w:basedOn w:val="TableNormal"/>
    <w:uiPriority w:val="42"/>
    <w:rsid w:val="000426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7586">
      <w:bodyDiv w:val="1"/>
      <w:marLeft w:val="0"/>
      <w:marRight w:val="0"/>
      <w:marTop w:val="0"/>
      <w:marBottom w:val="0"/>
      <w:divBdr>
        <w:top w:val="none" w:sz="0" w:space="0" w:color="auto"/>
        <w:left w:val="none" w:sz="0" w:space="0" w:color="auto"/>
        <w:bottom w:val="none" w:sz="0" w:space="0" w:color="auto"/>
        <w:right w:val="none" w:sz="0" w:space="0" w:color="auto"/>
      </w:divBdr>
    </w:div>
    <w:div w:id="57754455">
      <w:bodyDiv w:val="1"/>
      <w:marLeft w:val="0"/>
      <w:marRight w:val="0"/>
      <w:marTop w:val="0"/>
      <w:marBottom w:val="0"/>
      <w:divBdr>
        <w:top w:val="none" w:sz="0" w:space="0" w:color="auto"/>
        <w:left w:val="none" w:sz="0" w:space="0" w:color="auto"/>
        <w:bottom w:val="none" w:sz="0" w:space="0" w:color="auto"/>
        <w:right w:val="none" w:sz="0" w:space="0" w:color="auto"/>
      </w:divBdr>
    </w:div>
    <w:div w:id="62803566">
      <w:bodyDiv w:val="1"/>
      <w:marLeft w:val="0"/>
      <w:marRight w:val="0"/>
      <w:marTop w:val="0"/>
      <w:marBottom w:val="0"/>
      <w:divBdr>
        <w:top w:val="none" w:sz="0" w:space="0" w:color="auto"/>
        <w:left w:val="none" w:sz="0" w:space="0" w:color="auto"/>
        <w:bottom w:val="none" w:sz="0" w:space="0" w:color="auto"/>
        <w:right w:val="none" w:sz="0" w:space="0" w:color="auto"/>
      </w:divBdr>
    </w:div>
    <w:div w:id="127671226">
      <w:bodyDiv w:val="1"/>
      <w:marLeft w:val="0"/>
      <w:marRight w:val="0"/>
      <w:marTop w:val="0"/>
      <w:marBottom w:val="0"/>
      <w:divBdr>
        <w:top w:val="none" w:sz="0" w:space="0" w:color="auto"/>
        <w:left w:val="none" w:sz="0" w:space="0" w:color="auto"/>
        <w:bottom w:val="none" w:sz="0" w:space="0" w:color="auto"/>
        <w:right w:val="none" w:sz="0" w:space="0" w:color="auto"/>
      </w:divBdr>
    </w:div>
    <w:div w:id="246617597">
      <w:bodyDiv w:val="1"/>
      <w:marLeft w:val="0"/>
      <w:marRight w:val="0"/>
      <w:marTop w:val="0"/>
      <w:marBottom w:val="0"/>
      <w:divBdr>
        <w:top w:val="none" w:sz="0" w:space="0" w:color="auto"/>
        <w:left w:val="none" w:sz="0" w:space="0" w:color="auto"/>
        <w:bottom w:val="none" w:sz="0" w:space="0" w:color="auto"/>
        <w:right w:val="none" w:sz="0" w:space="0" w:color="auto"/>
      </w:divBdr>
    </w:div>
    <w:div w:id="635457182">
      <w:bodyDiv w:val="1"/>
      <w:marLeft w:val="0"/>
      <w:marRight w:val="0"/>
      <w:marTop w:val="0"/>
      <w:marBottom w:val="0"/>
      <w:divBdr>
        <w:top w:val="none" w:sz="0" w:space="0" w:color="auto"/>
        <w:left w:val="none" w:sz="0" w:space="0" w:color="auto"/>
        <w:bottom w:val="none" w:sz="0" w:space="0" w:color="auto"/>
        <w:right w:val="none" w:sz="0" w:space="0" w:color="auto"/>
      </w:divBdr>
    </w:div>
    <w:div w:id="874542802">
      <w:bodyDiv w:val="1"/>
      <w:marLeft w:val="0"/>
      <w:marRight w:val="0"/>
      <w:marTop w:val="0"/>
      <w:marBottom w:val="0"/>
      <w:divBdr>
        <w:top w:val="none" w:sz="0" w:space="0" w:color="auto"/>
        <w:left w:val="none" w:sz="0" w:space="0" w:color="auto"/>
        <w:bottom w:val="none" w:sz="0" w:space="0" w:color="auto"/>
        <w:right w:val="none" w:sz="0" w:space="0" w:color="auto"/>
      </w:divBdr>
    </w:div>
    <w:div w:id="968586960">
      <w:bodyDiv w:val="1"/>
      <w:marLeft w:val="0"/>
      <w:marRight w:val="0"/>
      <w:marTop w:val="0"/>
      <w:marBottom w:val="0"/>
      <w:divBdr>
        <w:top w:val="none" w:sz="0" w:space="0" w:color="auto"/>
        <w:left w:val="none" w:sz="0" w:space="0" w:color="auto"/>
        <w:bottom w:val="none" w:sz="0" w:space="0" w:color="auto"/>
        <w:right w:val="none" w:sz="0" w:space="0" w:color="auto"/>
      </w:divBdr>
    </w:div>
    <w:div w:id="1120563030">
      <w:bodyDiv w:val="1"/>
      <w:marLeft w:val="0"/>
      <w:marRight w:val="0"/>
      <w:marTop w:val="0"/>
      <w:marBottom w:val="0"/>
      <w:divBdr>
        <w:top w:val="none" w:sz="0" w:space="0" w:color="auto"/>
        <w:left w:val="none" w:sz="0" w:space="0" w:color="auto"/>
        <w:bottom w:val="none" w:sz="0" w:space="0" w:color="auto"/>
        <w:right w:val="none" w:sz="0" w:space="0" w:color="auto"/>
      </w:divBdr>
      <w:divsChild>
        <w:div w:id="1437366852">
          <w:marLeft w:val="0"/>
          <w:marRight w:val="0"/>
          <w:marTop w:val="0"/>
          <w:marBottom w:val="0"/>
          <w:divBdr>
            <w:top w:val="none" w:sz="0" w:space="0" w:color="auto"/>
            <w:left w:val="none" w:sz="0" w:space="0" w:color="auto"/>
            <w:bottom w:val="none" w:sz="0" w:space="0" w:color="auto"/>
            <w:right w:val="none" w:sz="0" w:space="0" w:color="auto"/>
          </w:divBdr>
        </w:div>
        <w:div w:id="738098441">
          <w:marLeft w:val="0"/>
          <w:marRight w:val="0"/>
          <w:marTop w:val="0"/>
          <w:marBottom w:val="0"/>
          <w:divBdr>
            <w:top w:val="none" w:sz="0" w:space="0" w:color="auto"/>
            <w:left w:val="none" w:sz="0" w:space="0" w:color="auto"/>
            <w:bottom w:val="none" w:sz="0" w:space="0" w:color="auto"/>
            <w:right w:val="none" w:sz="0" w:space="0" w:color="auto"/>
          </w:divBdr>
        </w:div>
        <w:div w:id="1777166236">
          <w:marLeft w:val="0"/>
          <w:marRight w:val="0"/>
          <w:marTop w:val="0"/>
          <w:marBottom w:val="0"/>
          <w:divBdr>
            <w:top w:val="none" w:sz="0" w:space="0" w:color="auto"/>
            <w:left w:val="none" w:sz="0" w:space="0" w:color="auto"/>
            <w:bottom w:val="none" w:sz="0" w:space="0" w:color="auto"/>
            <w:right w:val="none" w:sz="0" w:space="0" w:color="auto"/>
          </w:divBdr>
        </w:div>
        <w:div w:id="2113011926">
          <w:marLeft w:val="0"/>
          <w:marRight w:val="0"/>
          <w:marTop w:val="0"/>
          <w:marBottom w:val="0"/>
          <w:divBdr>
            <w:top w:val="none" w:sz="0" w:space="0" w:color="auto"/>
            <w:left w:val="none" w:sz="0" w:space="0" w:color="auto"/>
            <w:bottom w:val="none" w:sz="0" w:space="0" w:color="auto"/>
            <w:right w:val="none" w:sz="0" w:space="0" w:color="auto"/>
          </w:divBdr>
        </w:div>
        <w:div w:id="196163291">
          <w:marLeft w:val="0"/>
          <w:marRight w:val="0"/>
          <w:marTop w:val="0"/>
          <w:marBottom w:val="0"/>
          <w:divBdr>
            <w:top w:val="none" w:sz="0" w:space="0" w:color="auto"/>
            <w:left w:val="none" w:sz="0" w:space="0" w:color="auto"/>
            <w:bottom w:val="none" w:sz="0" w:space="0" w:color="auto"/>
            <w:right w:val="none" w:sz="0" w:space="0" w:color="auto"/>
          </w:divBdr>
        </w:div>
        <w:div w:id="1961646136">
          <w:marLeft w:val="0"/>
          <w:marRight w:val="0"/>
          <w:marTop w:val="0"/>
          <w:marBottom w:val="0"/>
          <w:divBdr>
            <w:top w:val="none" w:sz="0" w:space="0" w:color="auto"/>
            <w:left w:val="none" w:sz="0" w:space="0" w:color="auto"/>
            <w:bottom w:val="none" w:sz="0" w:space="0" w:color="auto"/>
            <w:right w:val="none" w:sz="0" w:space="0" w:color="auto"/>
          </w:divBdr>
        </w:div>
        <w:div w:id="162936152">
          <w:marLeft w:val="0"/>
          <w:marRight w:val="0"/>
          <w:marTop w:val="0"/>
          <w:marBottom w:val="0"/>
          <w:divBdr>
            <w:top w:val="none" w:sz="0" w:space="0" w:color="auto"/>
            <w:left w:val="none" w:sz="0" w:space="0" w:color="auto"/>
            <w:bottom w:val="none" w:sz="0" w:space="0" w:color="auto"/>
            <w:right w:val="none" w:sz="0" w:space="0" w:color="auto"/>
          </w:divBdr>
        </w:div>
        <w:div w:id="354815462">
          <w:marLeft w:val="0"/>
          <w:marRight w:val="0"/>
          <w:marTop w:val="0"/>
          <w:marBottom w:val="0"/>
          <w:divBdr>
            <w:top w:val="none" w:sz="0" w:space="0" w:color="auto"/>
            <w:left w:val="none" w:sz="0" w:space="0" w:color="auto"/>
            <w:bottom w:val="none" w:sz="0" w:space="0" w:color="auto"/>
            <w:right w:val="none" w:sz="0" w:space="0" w:color="auto"/>
          </w:divBdr>
        </w:div>
      </w:divsChild>
    </w:div>
    <w:div w:id="1246451955">
      <w:bodyDiv w:val="1"/>
      <w:marLeft w:val="0"/>
      <w:marRight w:val="0"/>
      <w:marTop w:val="0"/>
      <w:marBottom w:val="0"/>
      <w:divBdr>
        <w:top w:val="none" w:sz="0" w:space="0" w:color="auto"/>
        <w:left w:val="none" w:sz="0" w:space="0" w:color="auto"/>
        <w:bottom w:val="none" w:sz="0" w:space="0" w:color="auto"/>
        <w:right w:val="none" w:sz="0" w:space="0" w:color="auto"/>
      </w:divBdr>
    </w:div>
    <w:div w:id="1258296369">
      <w:bodyDiv w:val="1"/>
      <w:marLeft w:val="0"/>
      <w:marRight w:val="0"/>
      <w:marTop w:val="0"/>
      <w:marBottom w:val="0"/>
      <w:divBdr>
        <w:top w:val="none" w:sz="0" w:space="0" w:color="auto"/>
        <w:left w:val="none" w:sz="0" w:space="0" w:color="auto"/>
        <w:bottom w:val="none" w:sz="0" w:space="0" w:color="auto"/>
        <w:right w:val="none" w:sz="0" w:space="0" w:color="auto"/>
      </w:divBdr>
    </w:div>
    <w:div w:id="1268122803">
      <w:bodyDiv w:val="1"/>
      <w:marLeft w:val="0"/>
      <w:marRight w:val="0"/>
      <w:marTop w:val="0"/>
      <w:marBottom w:val="0"/>
      <w:divBdr>
        <w:top w:val="none" w:sz="0" w:space="0" w:color="auto"/>
        <w:left w:val="none" w:sz="0" w:space="0" w:color="auto"/>
        <w:bottom w:val="none" w:sz="0" w:space="0" w:color="auto"/>
        <w:right w:val="none" w:sz="0" w:space="0" w:color="auto"/>
      </w:divBdr>
    </w:div>
    <w:div w:id="1292518686">
      <w:bodyDiv w:val="1"/>
      <w:marLeft w:val="0"/>
      <w:marRight w:val="0"/>
      <w:marTop w:val="0"/>
      <w:marBottom w:val="0"/>
      <w:divBdr>
        <w:top w:val="none" w:sz="0" w:space="0" w:color="auto"/>
        <w:left w:val="none" w:sz="0" w:space="0" w:color="auto"/>
        <w:bottom w:val="none" w:sz="0" w:space="0" w:color="auto"/>
        <w:right w:val="none" w:sz="0" w:space="0" w:color="auto"/>
      </w:divBdr>
    </w:div>
    <w:div w:id="1308705843">
      <w:bodyDiv w:val="1"/>
      <w:marLeft w:val="0"/>
      <w:marRight w:val="0"/>
      <w:marTop w:val="0"/>
      <w:marBottom w:val="0"/>
      <w:divBdr>
        <w:top w:val="none" w:sz="0" w:space="0" w:color="auto"/>
        <w:left w:val="none" w:sz="0" w:space="0" w:color="auto"/>
        <w:bottom w:val="none" w:sz="0" w:space="0" w:color="auto"/>
        <w:right w:val="none" w:sz="0" w:space="0" w:color="auto"/>
      </w:divBdr>
    </w:div>
    <w:div w:id="1509367759">
      <w:bodyDiv w:val="1"/>
      <w:marLeft w:val="0"/>
      <w:marRight w:val="0"/>
      <w:marTop w:val="0"/>
      <w:marBottom w:val="0"/>
      <w:divBdr>
        <w:top w:val="none" w:sz="0" w:space="0" w:color="auto"/>
        <w:left w:val="none" w:sz="0" w:space="0" w:color="auto"/>
        <w:bottom w:val="none" w:sz="0" w:space="0" w:color="auto"/>
        <w:right w:val="none" w:sz="0" w:space="0" w:color="auto"/>
      </w:divBdr>
    </w:div>
    <w:div w:id="1556504799">
      <w:bodyDiv w:val="1"/>
      <w:marLeft w:val="0"/>
      <w:marRight w:val="0"/>
      <w:marTop w:val="0"/>
      <w:marBottom w:val="0"/>
      <w:divBdr>
        <w:top w:val="none" w:sz="0" w:space="0" w:color="auto"/>
        <w:left w:val="none" w:sz="0" w:space="0" w:color="auto"/>
        <w:bottom w:val="none" w:sz="0" w:space="0" w:color="auto"/>
        <w:right w:val="none" w:sz="0" w:space="0" w:color="auto"/>
      </w:divBdr>
    </w:div>
    <w:div w:id="1709332082">
      <w:bodyDiv w:val="1"/>
      <w:marLeft w:val="0"/>
      <w:marRight w:val="0"/>
      <w:marTop w:val="0"/>
      <w:marBottom w:val="0"/>
      <w:divBdr>
        <w:top w:val="none" w:sz="0" w:space="0" w:color="auto"/>
        <w:left w:val="none" w:sz="0" w:space="0" w:color="auto"/>
        <w:bottom w:val="none" w:sz="0" w:space="0" w:color="auto"/>
        <w:right w:val="none" w:sz="0" w:space="0" w:color="auto"/>
      </w:divBdr>
    </w:div>
    <w:div w:id="1903177422">
      <w:bodyDiv w:val="1"/>
      <w:marLeft w:val="0"/>
      <w:marRight w:val="0"/>
      <w:marTop w:val="0"/>
      <w:marBottom w:val="0"/>
      <w:divBdr>
        <w:top w:val="none" w:sz="0" w:space="0" w:color="auto"/>
        <w:left w:val="none" w:sz="0" w:space="0" w:color="auto"/>
        <w:bottom w:val="none" w:sz="0" w:space="0" w:color="auto"/>
        <w:right w:val="none" w:sz="0" w:space="0" w:color="auto"/>
      </w:divBdr>
    </w:div>
    <w:div w:id="2026011236">
      <w:bodyDiv w:val="1"/>
      <w:marLeft w:val="0"/>
      <w:marRight w:val="0"/>
      <w:marTop w:val="0"/>
      <w:marBottom w:val="0"/>
      <w:divBdr>
        <w:top w:val="none" w:sz="0" w:space="0" w:color="auto"/>
        <w:left w:val="none" w:sz="0" w:space="0" w:color="auto"/>
        <w:bottom w:val="none" w:sz="0" w:space="0" w:color="auto"/>
        <w:right w:val="none" w:sz="0" w:space="0" w:color="auto"/>
      </w:divBdr>
    </w:div>
    <w:div w:id="2043436795">
      <w:bodyDiv w:val="1"/>
      <w:marLeft w:val="0"/>
      <w:marRight w:val="0"/>
      <w:marTop w:val="0"/>
      <w:marBottom w:val="0"/>
      <w:divBdr>
        <w:top w:val="none" w:sz="0" w:space="0" w:color="auto"/>
        <w:left w:val="none" w:sz="0" w:space="0" w:color="auto"/>
        <w:bottom w:val="none" w:sz="0" w:space="0" w:color="auto"/>
        <w:right w:val="none" w:sz="0" w:space="0" w:color="auto"/>
      </w:divBdr>
    </w:div>
    <w:div w:id="2089376379">
      <w:bodyDiv w:val="1"/>
      <w:marLeft w:val="0"/>
      <w:marRight w:val="0"/>
      <w:marTop w:val="0"/>
      <w:marBottom w:val="0"/>
      <w:divBdr>
        <w:top w:val="none" w:sz="0" w:space="0" w:color="auto"/>
        <w:left w:val="none" w:sz="0" w:space="0" w:color="auto"/>
        <w:bottom w:val="none" w:sz="0" w:space="0" w:color="auto"/>
        <w:right w:val="none" w:sz="0" w:space="0" w:color="auto"/>
      </w:divBdr>
    </w:div>
    <w:div w:id="212607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file:///F:\Work%20in%20progress%20FMO%20TEAM%20FOLDERS\Finance%20team\FM%202014-21\Guidance%20document\2017_05_19_Financial%20Guidance%20Doc_FOR%20COMMENTS.docx"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F:\Work%20in%20progress%20FMO%20TEAM%20FOLDERS\Finance%20team\FM%202014-21\Guidance%20document\2017_05_19_Financial%20Guidance%20Doc_FOR%20COMMENTS.docx"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gional_policy/sources/docgener/informat/2014/guidance_management_verification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lumMod val="20000"/>
            <a:lumOff val="80000"/>
          </a:schemeClr>
        </a:solidFill>
        <a:ln w="9525">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C0F5C1-DD90-4A8D-AFD9-DBD081FB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4345</TotalTime>
  <Pages>62</Pages>
  <Words>19093</Words>
  <Characters>108835</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EFTA</Company>
  <LinksUpToDate>false</LinksUpToDate>
  <CharactersWithSpaces>127673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FMO Finance</dc:creator>
  <cp:keywords/>
  <dc:description/>
  <cp:lastModifiedBy>BREZNIK Tadej</cp:lastModifiedBy>
  <cp:revision>53</cp:revision>
  <cp:lastPrinted>2017-05-19T13:10:00Z</cp:lastPrinted>
  <dcterms:created xsi:type="dcterms:W3CDTF">2017-05-18T15:25:00Z</dcterms:created>
  <dcterms:modified xsi:type="dcterms:W3CDTF">2017-06-02T11:52:00Z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2147306013</vt:i4>
  </property>
</Properties>
</file>